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中关村社会组织工作项目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支持资金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申报要求</w:t>
      </w:r>
      <w:bookmarkEnd w:id="0"/>
    </w:p>
    <w:p>
      <w:pPr>
        <w:spacing w:line="60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 w:cs="仿宋_GB2312"/>
          <w:sz w:val="32"/>
          <w:szCs w:val="32"/>
        </w:rPr>
      </w:pPr>
      <w:r>
        <w:rPr>
          <w:rFonts w:hint="eastAsia" w:ascii="黑体" w:hAnsi="宋体" w:eastAsia="黑体" w:cs="仿宋_GB2312"/>
          <w:sz w:val="32"/>
          <w:szCs w:val="32"/>
        </w:rPr>
        <w:t>一、平台搭建及活动组织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（一）平台搭建列支范围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平台搭建费、设备费、人力资源支出、平台维护费等。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（二）活动组织列支范围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人员组织费、会议费、专家费、资料费、差旅费等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（三）活动组织类项目证明材料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ascii="楷体_GB2312" w:hAnsi="宋体" w:eastAsia="楷体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实施合同、合作协议等；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2.活动前、活动中、活动后相关材料（</w:t>
      </w: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方案、</w:t>
      </w:r>
      <w:r>
        <w:rPr>
          <w:rFonts w:ascii="仿宋_GB2312" w:hAnsi="仿宋_GB2312" w:eastAsia="仿宋_GB2312" w:cs="Tahoma"/>
          <w:color w:val="000000"/>
          <w:kern w:val="1"/>
          <w:sz w:val="32"/>
          <w:szCs w:val="32"/>
        </w:rPr>
        <w:t>通知、</w:t>
      </w: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议程、照片、签到表、活动简报、通知简报上传双创服务平台或信息报送截图）；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3.媒体报道链接或截图；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4.系列活动需提交每场活动的材料。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（四）平台类项目证明材料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ascii="楷体_GB2312" w:hAnsi="宋体" w:eastAsia="楷体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  <w:lang w:val="en-US" w:eastAsia="zh-CN"/>
        </w:rPr>
        <w:t>线上平台需提供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网址链接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共性技术平台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需提供实施场地照片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2.实施合同、合作协议等</w:t>
      </w:r>
      <w:r>
        <w:rPr>
          <w:rFonts w:hint="eastAsia" w:ascii="仿宋_GB2312" w:hAnsi="仿宋_GB2312" w:eastAsia="仿宋_GB2312" w:cs="Tahoma"/>
          <w:kern w:val="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Tahoma"/>
          <w:kern w:val="1"/>
          <w:sz w:val="32"/>
          <w:szCs w:val="32"/>
          <w:lang w:val="en-US" w:eastAsia="zh-CN"/>
        </w:rPr>
        <w:t>共性技术平台需提供设备采购协议</w:t>
      </w:r>
      <w:r>
        <w:rPr>
          <w:rFonts w:hint="eastAsia" w:ascii="仿宋_GB2312" w:hAnsi="仿宋_GB2312" w:eastAsia="仿宋_GB2312" w:cs="Tahoma"/>
          <w:kern w:val="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3.项目实施相关材料（方案、预算、平台建设材料</w:t>
      </w:r>
      <w:r>
        <w:rPr>
          <w:rFonts w:ascii="仿宋_GB2312" w:hAnsi="仿宋_GB2312" w:eastAsia="仿宋_GB2312" w:cs="Tahoma"/>
          <w:color w:val="000000"/>
          <w:kern w:val="1"/>
          <w:sz w:val="32"/>
          <w:szCs w:val="32"/>
        </w:rPr>
        <w:t>、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上传双创服务平台截图）；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4.平台服务效果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支撑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材料(平台浏览量截图</w:t>
      </w:r>
      <w:r>
        <w:rPr>
          <w:rFonts w:hint="eastAsia" w:ascii="仿宋_GB2312" w:hAnsi="仿宋_GB2312" w:eastAsia="仿宋_GB2312" w:cs="Tahoma"/>
          <w:kern w:val="1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服务</w:t>
      </w:r>
      <w:r>
        <w:rPr>
          <w:rFonts w:hint="eastAsia" w:ascii="仿宋_GB2312" w:hAnsi="仿宋_GB2312" w:eastAsia="仿宋_GB2312" w:cs="Tahoma"/>
          <w:kern w:val="1"/>
          <w:sz w:val="32"/>
          <w:szCs w:val="32"/>
          <w:lang w:val="en-US" w:eastAsia="zh-CN"/>
        </w:rPr>
        <w:t>记录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)。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黑体" w:hAnsi="宋体" w:eastAsia="黑体" w:cs="仿宋_GB2312"/>
          <w:sz w:val="32"/>
          <w:szCs w:val="32"/>
        </w:rPr>
      </w:pPr>
      <w:r>
        <w:rPr>
          <w:rFonts w:hint="eastAsia" w:ascii="黑体" w:hAnsi="宋体" w:eastAsia="黑体" w:cs="仿宋_GB2312"/>
          <w:sz w:val="32"/>
          <w:szCs w:val="32"/>
        </w:rPr>
        <w:t>二、行业研究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黑体" w:hAnsi="宋体" w:eastAsia="黑体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（一）列支范围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研究类项目列支的科目包括：</w:t>
      </w:r>
      <w:r>
        <w:rPr>
          <w:rFonts w:hint="eastAsia" w:ascii="仿宋_GB2312" w:eastAsia="仿宋_GB2312" w:cs="宋体"/>
          <w:kern w:val="0"/>
          <w:sz w:val="32"/>
          <w:szCs w:val="32"/>
        </w:rPr>
        <w:t>资料费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、</w:t>
      </w:r>
      <w:r>
        <w:rPr>
          <w:rFonts w:hint="eastAsia" w:ascii="仿宋_GB2312" w:eastAsia="仿宋_GB2312" w:cs="宋体"/>
          <w:kern w:val="0"/>
          <w:sz w:val="32"/>
          <w:szCs w:val="32"/>
        </w:rPr>
        <w:t>数据采集费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、</w:t>
      </w:r>
      <w:r>
        <w:rPr>
          <w:rFonts w:hint="eastAsia" w:ascii="仿宋_GB2312" w:eastAsia="仿宋_GB2312" w:cs="宋体"/>
          <w:kern w:val="0"/>
          <w:sz w:val="32"/>
          <w:szCs w:val="32"/>
        </w:rPr>
        <w:t>差旅费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、</w:t>
      </w:r>
      <w:r>
        <w:rPr>
          <w:rFonts w:hint="eastAsia" w:ascii="仿宋_GB2312" w:eastAsia="仿宋_GB2312" w:cs="宋体"/>
          <w:kern w:val="0"/>
          <w:sz w:val="32"/>
          <w:szCs w:val="32"/>
        </w:rPr>
        <w:t>会议费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、</w:t>
      </w:r>
      <w:r>
        <w:rPr>
          <w:rFonts w:hint="eastAsia" w:ascii="仿宋_GB2312" w:eastAsia="仿宋_GB2312" w:cs="宋体"/>
          <w:kern w:val="0"/>
          <w:sz w:val="32"/>
          <w:szCs w:val="32"/>
        </w:rPr>
        <w:t>专家咨询费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、</w:t>
      </w:r>
      <w:r>
        <w:rPr>
          <w:rFonts w:hint="eastAsia" w:ascii="仿宋_GB2312" w:eastAsia="仿宋_GB2312" w:cs="宋体"/>
          <w:kern w:val="0"/>
          <w:sz w:val="32"/>
          <w:szCs w:val="32"/>
        </w:rPr>
        <w:t>人员费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、</w:t>
      </w:r>
      <w:r>
        <w:rPr>
          <w:rFonts w:hint="eastAsia" w:ascii="仿宋_GB2312" w:eastAsia="仿宋_GB2312" w:cs="宋体"/>
          <w:kern w:val="0"/>
          <w:sz w:val="32"/>
          <w:szCs w:val="32"/>
        </w:rPr>
        <w:t>劳务费、印刷费、外协费等。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楷体_GB2312" w:hAnsi="仿宋_GB2312" w:eastAsia="楷体_GB2312" w:cs="Tahoma"/>
          <w:kern w:val="1"/>
          <w:sz w:val="32"/>
          <w:szCs w:val="32"/>
        </w:rPr>
      </w:pPr>
      <w:r>
        <w:rPr>
          <w:rFonts w:hint="eastAsia" w:ascii="楷体_GB2312" w:hAnsi="仿宋_GB2312" w:eastAsia="楷体_GB2312" w:cs="Tahoma"/>
          <w:kern w:val="1"/>
          <w:sz w:val="32"/>
          <w:szCs w:val="32"/>
        </w:rPr>
        <w:t>（二）证明材料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1.完整的课题报告；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2</w:t>
      </w:r>
      <w:r>
        <w:rPr>
          <w:rFonts w:ascii="仿宋_GB2312" w:hAnsi="仿宋_GB2312" w:eastAsia="仿宋_GB2312" w:cs="Tahoma"/>
          <w:kern w:val="1"/>
          <w:sz w:val="32"/>
          <w:szCs w:val="32"/>
        </w:rPr>
        <w:t>.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实施合同、合作协议等；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3.课题研究过程中开题会、中期检查会与结题专家评审会</w:t>
      </w:r>
      <w:r>
        <w:rPr>
          <w:rFonts w:ascii="仿宋_GB2312" w:hAnsi="仿宋_GB2312" w:eastAsia="仿宋_GB2312" w:cs="Tahoma"/>
          <w:kern w:val="1"/>
          <w:sz w:val="32"/>
          <w:szCs w:val="32"/>
        </w:rPr>
        <w:t>会议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相关</w:t>
      </w:r>
      <w:r>
        <w:rPr>
          <w:rFonts w:ascii="仿宋_GB2312" w:hAnsi="仿宋_GB2312" w:eastAsia="仿宋_GB2312" w:cs="Tahoma"/>
          <w:kern w:val="1"/>
          <w:sz w:val="32"/>
          <w:szCs w:val="32"/>
        </w:rPr>
        <w:t>材料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（</w:t>
      </w:r>
      <w:r>
        <w:rPr>
          <w:rFonts w:ascii="仿宋_GB2312" w:hAnsi="仿宋_GB2312" w:eastAsia="仿宋_GB2312" w:cs="Tahoma"/>
          <w:kern w:val="1"/>
          <w:sz w:val="32"/>
          <w:szCs w:val="32"/>
        </w:rPr>
        <w:t>通知、</w:t>
      </w:r>
      <w:r>
        <w:rPr>
          <w:rFonts w:hint="eastAsia" w:ascii="仿宋_GB2312" w:hAnsi="仿宋_GB2312" w:eastAsia="仿宋_GB2312" w:cs="Tahoma"/>
          <w:kern w:val="1"/>
          <w:sz w:val="32"/>
          <w:szCs w:val="32"/>
        </w:rPr>
        <w:t>会议纪要</w:t>
      </w:r>
      <w:r>
        <w:rPr>
          <w:rFonts w:ascii="仿宋_GB2312" w:hAnsi="仿宋_GB2312" w:eastAsia="仿宋_GB2312" w:cs="Tahoma"/>
          <w:kern w:val="1"/>
          <w:sz w:val="32"/>
          <w:szCs w:val="32"/>
        </w:rPr>
        <w:t>、</w:t>
      </w: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开题报告、课题初稿、专家签字</w:t>
      </w:r>
      <w:r>
        <w:rPr>
          <w:rFonts w:ascii="仿宋_GB2312" w:hAnsi="仿宋_GB2312" w:eastAsia="仿宋_GB2312" w:cs="Tahoma"/>
          <w:color w:val="000000"/>
          <w:kern w:val="1"/>
          <w:sz w:val="32"/>
          <w:szCs w:val="32"/>
        </w:rPr>
        <w:t>表</w:t>
      </w: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及评审意见、课题报告报送管委会或上传双创服务平台截图），</w:t>
      </w:r>
      <w:r>
        <w:rPr>
          <w:rFonts w:hint="eastAsia" w:ascii="仿宋_GB2312" w:eastAsia="仿宋_GB2312"/>
          <w:color w:val="000000"/>
          <w:sz w:val="32"/>
          <w:szCs w:val="32"/>
        </w:rPr>
        <w:t>研究成果转化应用证明材料；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4.列支考察费需提供异地调研、考察通知、参与人员名单、调研考察报告等。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黑体" w:hAnsi="宋体" w:eastAsia="黑体" w:cs="仿宋_GB2312"/>
          <w:sz w:val="32"/>
          <w:szCs w:val="32"/>
        </w:rPr>
      </w:pPr>
      <w:r>
        <w:rPr>
          <w:rFonts w:hint="eastAsia" w:ascii="黑体" w:hAnsi="宋体" w:eastAsia="黑体" w:cs="仿宋_GB2312"/>
          <w:sz w:val="32"/>
          <w:szCs w:val="32"/>
        </w:rPr>
        <w:t>三、需提供的其他证明材料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1.社会团体法人登记证书/组织机构代码证书复印件；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2.上一年度北京市民政局年检结论书复印件；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3.工作奖励信息需提供奖励证明材料，如奖状证书或获奖信息；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4.承担国家重点专项需提供协议；</w:t>
      </w:r>
    </w:p>
    <w:p>
      <w:pPr>
        <w:tabs>
          <w:tab w:val="left" w:pos="1768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Tahoma"/>
          <w:color w:val="000000"/>
          <w:kern w:val="1"/>
          <w:sz w:val="32"/>
          <w:szCs w:val="32"/>
        </w:rPr>
        <w:t>5.连续开展3年以上项目需提交延续性开展证明材料（截至上年末项目已连续开展相关证明材料）。</w:t>
      </w:r>
    </w:p>
    <w:p>
      <w:pPr>
        <w:rPr>
          <w:rFonts w:ascii="仿宋_GB2312" w:hAnsi="仿宋_GB2312" w:eastAsia="仿宋_GB2312" w:cs="Tahoma"/>
          <w:color w:val="000000"/>
          <w:kern w:val="1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95052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60534"/>
    <w:rsid w:val="011105E1"/>
    <w:rsid w:val="01B6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jc w:val="left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2021-06-03T08:28:00Z</dcterms:created>
  <dc:creator>He闽</dc:creator>
  <cp:lastModifiedBy>He闽</cp:lastModifiedBy>
  <dcterms:modified xsi:type="dcterms:W3CDTF">2021-06-03T08:42:31Z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AA2EDF35B62B47048D0909976303EDD2</vt:lpwstr>
  </property>
  <property fmtid="{D5CDD505-2E9C-101B-9397-08002B2CF9AE}" pid="4" name="KSOSaveFontToCloudKey">
    <vt:lpwstr>439615477_btnclosed</vt:lpwstr>
  </property>
</Properties>
</file>