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righ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2023年第一批注册的北京市自然科学基金</w:t>
      </w:r>
    </w:p>
    <w:p>
      <w:pPr>
        <w:ind w:righ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依托单位名单</w:t>
      </w:r>
    </w:p>
    <w:tbl>
      <w:tblPr>
        <w:tblStyle w:val="4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7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序号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北京艾普希隆生物科技有限公司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北京按摩医院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北京百迈客生物科技有限公司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北京佰才邦技术股份有限公司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北京合生基因科技有限公司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北京弘进久安生物科技有限公司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北京华信医院（清华大学第一附属医院）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北京怀柔实验室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北京教育科学研究院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北京可瑞生物科技有限公司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北京普瑞姆赛斯科技有限公司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北京青莲百奥生物科技有限公司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北京生命科学研究所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北京世纪好未来教育科技有限公司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北京数原数字化城市研究中心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北京现代药物代谢研究院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北京携云启源科技有限公司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北京寻因生物科技有限公司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北京炎明生物科技有限公司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北京壹点灵动科技有限公司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北京鹰瞳科技发展股份有限公司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北京智谱华章科技有限公司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国家气象中心（中央气象台）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国科科仪（北京）高端装备研究院有限公司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豪尔赛科技集团股份有限公司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华美孚泰油气增产技术服务有限责任公司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慧影医疗科技（北京）股份有限公司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九三英才安全工程师事务所（北京）有限公司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科大讯飞（北京）有限公司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利亚德光电股份有限公司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联通在线信息科技有限公司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清芯未来(北京)科技有限公司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睿至科技集团有限公司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天新福（北京）医疗器材股份有限公司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昕传生物科技（北京）有限公司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应急管理部大数据中心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应急管理部信息研究院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元码基因科技（北京）股份有限公司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致晶科技（北京）有限公司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中电数据服务有限公司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中国测绘科学研究院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中国船舶集团有限公司综合技术经济研究院（中国船舶集团有限公司第六〇一研究院）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中国工业互联网研究院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中国科学院古脊椎动物与古人类研究所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中国皮革制鞋研究院有限公司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中国人民解放军总医院第二医学中心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中国人民解放军总医院第一医学中心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中航环球文化传播（北京）有限公司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中化学科学技术研究有限公司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中精普康（北京）医药科技有限公司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Mzk1MDU5Y2MwOTgyNDlhOTUxYTNiMzdhMzJjYWIifQ=="/>
  </w:docVars>
  <w:rsids>
    <w:rsidRoot w:val="00172A27"/>
    <w:rsid w:val="05505BF3"/>
    <w:rsid w:val="05A45BE0"/>
    <w:rsid w:val="1C4C3A51"/>
    <w:rsid w:val="25C30DC4"/>
    <w:rsid w:val="2DB96A6D"/>
    <w:rsid w:val="31B859B9"/>
    <w:rsid w:val="41FF501B"/>
    <w:rsid w:val="493531BF"/>
    <w:rsid w:val="4BAF3C6B"/>
    <w:rsid w:val="58131E77"/>
    <w:rsid w:val="66A575B3"/>
    <w:rsid w:val="7A16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kern w:val="0"/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9">
    <w:name w:val="font01"/>
    <w:basedOn w:val="5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791</Words>
  <Characters>837</Characters>
  <Lines>0</Lines>
  <Paragraphs>0</Paragraphs>
  <TotalTime>0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2023-05-22T04:02:00Z</dcterms:created>
  <dc:creator>罗祥</dc:creator>
  <cp:lastModifiedBy>罗祥</cp:lastModifiedBy>
  <dcterms:modified xsi:type="dcterms:W3CDTF">2023-05-23T06:27:54Z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86DBD835C4CD40748A09E4C6E933CBAC_11</vt:lpwstr>
  </property>
</Properties>
</file>