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5E" w:rsidRDefault="00727EC0" w:rsidP="00A82834">
      <w:pPr>
        <w:spacing w:afterLines="100" w:line="560" w:lineRule="exact"/>
        <w:jc w:val="center"/>
        <w:rPr>
          <w:rFonts w:ascii="方正小标宋简体" w:eastAsia="方正小标宋简体" w:hAnsi="仿宋_GB2312" w:cs="仿宋_GB2312"/>
          <w:color w:val="000000"/>
          <w:sz w:val="40"/>
          <w:szCs w:val="40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color w:val="000000"/>
          <w:sz w:val="40"/>
          <w:szCs w:val="40"/>
        </w:rPr>
        <w:t>北京市企业科技研究开发机构认定名单</w:t>
      </w:r>
    </w:p>
    <w:tbl>
      <w:tblPr>
        <w:tblW w:w="85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59"/>
        <w:gridCol w:w="7497"/>
      </w:tblGrid>
      <w:tr w:rsidR="00C0505E">
        <w:trPr>
          <w:trHeight w:val="456"/>
          <w:tblHeader/>
          <w:jc w:val="center"/>
        </w:trPr>
        <w:tc>
          <w:tcPr>
            <w:tcW w:w="1059" w:type="dxa"/>
            <w:noWrap/>
            <w:vAlign w:val="center"/>
          </w:tcPr>
          <w:bookmarkEnd w:id="0"/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497" w:type="dxa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北京索德电气工业有限公司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北京中科宇航技术有限公司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北京求臻医学检验实验室有限公司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北京华大信安科技有限公司</w:t>
            </w:r>
          </w:p>
        </w:tc>
      </w:tr>
      <w:tr w:rsidR="00C0505E">
        <w:trPr>
          <w:trHeight w:hRule="exact" w:val="532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北京新城禹潞环保科技有限责任公司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北京华氏开元医药科技有限公司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中材地质工程勘查研究院有限公司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亦康（北京）医药科技有限公司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北京达因高科儿童药物研究院有限公司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华夏生生药业（北京）有限公司技术中心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北京美联泰科生物技术有限公司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中星联华科技（北京）有限公司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北京华安天诚科技有限公司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北京中检葆泰生物技术有限公司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北京达熙生物科技有限公司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北京星途探索科技有限公司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北京市科通电子继电器总厂有限公司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北京友通上昊科技有限公司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北京鸿测科技发展有限公司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云和恩墨（北京）信息技术有限公司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中化学科学技术研究有限公司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北京天衡军威医药技术开发有限公司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北京升鑫网络科技有限公司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百望股份有限公司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北京博睿宏远数据科技股份有限公司</w:t>
            </w:r>
          </w:p>
        </w:tc>
      </w:tr>
      <w:tr w:rsidR="00C0505E">
        <w:trPr>
          <w:trHeight w:hRule="exact" w:val="567"/>
          <w:jc w:val="center"/>
        </w:trPr>
        <w:tc>
          <w:tcPr>
            <w:tcW w:w="1059" w:type="dxa"/>
            <w:shd w:val="clear" w:color="000000" w:fill="FFFFFF"/>
            <w:noWrap/>
            <w:vAlign w:val="center"/>
          </w:tcPr>
          <w:p w:rsidR="00C0505E" w:rsidRDefault="00727EC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7497" w:type="dxa"/>
            <w:shd w:val="clear" w:color="000000" w:fill="FFFFFF"/>
            <w:noWrap/>
            <w:vAlign w:val="center"/>
          </w:tcPr>
          <w:p w:rsidR="00C0505E" w:rsidRDefault="00727E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北京普祺医药科技有限公司</w:t>
            </w:r>
          </w:p>
        </w:tc>
      </w:tr>
    </w:tbl>
    <w:p w:rsidR="00C0505E" w:rsidRDefault="00C0505E">
      <w:pPr>
        <w:jc w:val="center"/>
        <w:rPr>
          <w:rFonts w:ascii="黑体" w:eastAsia="黑体" w:hAnsi="黑体" w:cs="黑体"/>
          <w:color w:val="333333"/>
          <w:kern w:val="0"/>
        </w:rPr>
      </w:pPr>
    </w:p>
    <w:sectPr w:rsidR="00C0505E" w:rsidSect="00C05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C0" w:rsidRDefault="00727EC0" w:rsidP="00A82834">
      <w:r>
        <w:separator/>
      </w:r>
    </w:p>
  </w:endnote>
  <w:endnote w:type="continuationSeparator" w:id="1">
    <w:p w:rsidR="00727EC0" w:rsidRDefault="00727EC0" w:rsidP="00A8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C0" w:rsidRDefault="00727EC0" w:rsidP="00A82834">
      <w:r>
        <w:separator/>
      </w:r>
    </w:p>
  </w:footnote>
  <w:footnote w:type="continuationSeparator" w:id="1">
    <w:p w:rsidR="00727EC0" w:rsidRDefault="00727EC0" w:rsidP="00A82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6255A7"/>
    <w:rsid w:val="00727EC0"/>
    <w:rsid w:val="00A82834"/>
    <w:rsid w:val="00C0505E"/>
    <w:rsid w:val="176255A7"/>
    <w:rsid w:val="1DBA4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05E"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2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283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82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283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shenfeifei</cp:lastModifiedBy>
  <cp:revision>2</cp:revision>
  <dcterms:created xsi:type="dcterms:W3CDTF">2021-12-01T06:55:00Z</dcterms:created>
  <dcterms:modified xsi:type="dcterms:W3CDTF">2021-12-01T06:55:00Z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A9327A213E7642CDBE0D33B00588632E</vt:lpwstr>
  </property>
</Properties>
</file>