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adjustRightInd/>
        <w:snapToGrid/>
        <w:spacing w:line="560" w:lineRule="exact"/>
        <w:textAlignment w:val="auto"/>
        <w:rPr>
          <w:rFonts w:hint="eastAsia" w:ascii="黑体" w:hAnsi="黑体" w:eastAsia="黑体" w:cs="黑体"/>
          <w:sz w:val="32"/>
          <w:szCs w:val="32"/>
          <w:lang w:eastAsia="zh-CN"/>
        </w:rPr>
      </w:pPr>
      <w:bookmarkStart w:id="0" w:name="_GoBack"/>
      <w:bookmarkEnd w:id="0"/>
      <w:r>
        <w:rPr>
          <w:rFonts w:hint="eastAsia" w:ascii="黑体" w:hAnsi="黑体" w:eastAsia="黑体" w:cs="黑体"/>
          <w:sz w:val="32"/>
          <w:szCs w:val="32"/>
        </w:rPr>
        <w:t>附件</w:t>
      </w:r>
      <w:r>
        <w:rPr>
          <w:rFonts w:hint="eastAsia" w:ascii="黑体" w:hAnsi="黑体" w:eastAsia="黑体" w:cs="黑体"/>
          <w:sz w:val="32"/>
          <w:szCs w:val="32"/>
          <w:lang w:val="en-US" w:eastAsia="zh-CN"/>
        </w:rPr>
        <w:t>1</w:t>
      </w:r>
    </w:p>
    <w:p>
      <w:pPr>
        <w:keepNext w:val="0"/>
        <w:keepLines w:val="0"/>
        <w:pageBreakBefore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_GBK" w:hAnsi="仿宋" w:eastAsia="方正小标宋_GBK"/>
          <w:sz w:val="44"/>
          <w:szCs w:val="44"/>
          <w:lang w:val="en-US" w:eastAsia="zh-CN"/>
        </w:rPr>
      </w:pPr>
      <w:r>
        <w:rPr>
          <w:rFonts w:hint="eastAsia" w:ascii="方正小标宋_GBK" w:hAnsi="仿宋" w:eastAsia="方正小标宋_GBK"/>
          <w:sz w:val="44"/>
          <w:szCs w:val="44"/>
          <w:lang w:val="en-US" w:eastAsia="zh-CN"/>
        </w:rPr>
        <w:t>北京市自然科学基金依托单位注册</w:t>
      </w:r>
    </w:p>
    <w:p>
      <w:pPr>
        <w:keepNext w:val="0"/>
        <w:keepLines w:val="0"/>
        <w:pageBreakBefore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_GBK" w:hAnsi="仿宋" w:eastAsia="方正小标宋_GBK"/>
          <w:sz w:val="44"/>
          <w:szCs w:val="44"/>
          <w:lang w:val="en-US" w:eastAsia="zh-CN"/>
        </w:rPr>
      </w:pPr>
      <w:r>
        <w:rPr>
          <w:rFonts w:hint="eastAsia" w:ascii="方正小标宋_GBK" w:hAnsi="仿宋" w:eastAsia="方正小标宋_GBK"/>
          <w:sz w:val="44"/>
          <w:szCs w:val="44"/>
          <w:lang w:val="en-US" w:eastAsia="zh-CN"/>
        </w:rPr>
        <w:t>管理办法</w:t>
      </w:r>
    </w:p>
    <w:p>
      <w:pPr>
        <w:keepNext w:val="0"/>
        <w:keepLines w:val="0"/>
        <w:pageBreakBefore w:val="0"/>
        <w:kinsoku/>
        <w:wordWrap/>
        <w:overflowPunct/>
        <w:topLinePunct w:val="0"/>
        <w:autoSpaceDE/>
        <w:autoSpaceDN/>
        <w:bidi w:val="0"/>
        <w:adjustRightInd/>
        <w:snapToGrid/>
        <w:spacing w:line="560" w:lineRule="exact"/>
        <w:ind w:firstLine="883" w:firstLineChars="200"/>
        <w:textAlignment w:val="auto"/>
        <w:rPr>
          <w:rFonts w:ascii="仿宋_GB2312" w:hAnsi="仿宋" w:eastAsia="仿宋_GB2312"/>
          <w:b/>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第一章  总 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 w:eastAsia="仿宋_GB2312"/>
          <w:color w:val="auto"/>
          <w:sz w:val="32"/>
          <w:szCs w:val="32"/>
          <w:highlight w:val="none"/>
        </w:rPr>
      </w:pPr>
      <w:r>
        <w:rPr>
          <w:rFonts w:hint="eastAsia" w:ascii="仿宋_GB2312" w:hAnsi="仿宋" w:eastAsia="仿宋_GB2312"/>
          <w:b/>
          <w:bCs/>
          <w:color w:val="auto"/>
          <w:sz w:val="32"/>
          <w:szCs w:val="32"/>
          <w:highlight w:val="none"/>
        </w:rPr>
        <w:t>第一条</w:t>
      </w:r>
      <w:r>
        <w:rPr>
          <w:rFonts w:hint="eastAsia" w:ascii="仿宋_GB2312" w:hAnsi="仿宋" w:eastAsia="仿宋_GB2312"/>
          <w:color w:val="auto"/>
          <w:sz w:val="32"/>
          <w:szCs w:val="32"/>
          <w:highlight w:val="none"/>
        </w:rPr>
        <w:t xml:space="preserve"> </w:t>
      </w:r>
      <w:r>
        <w:rPr>
          <w:rFonts w:hint="eastAsia" w:ascii="仿宋_GB2312" w:hAnsi="仿宋" w:eastAsia="仿宋_GB2312"/>
          <w:color w:val="auto"/>
          <w:sz w:val="32"/>
          <w:szCs w:val="32"/>
          <w:highlight w:val="none"/>
          <w:lang w:val="en-US" w:eastAsia="zh-CN"/>
        </w:rPr>
        <w:t>为了规范和加强北京市自然科学基金依托单位（以下简称“依托单位”）的注册管理工作，根据《北京市自然科学基金管理办法》（以下简称《管理办法》），制定本办法。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 w:eastAsia="仿宋_GB2312"/>
          <w:color w:val="auto"/>
          <w:sz w:val="32"/>
          <w:szCs w:val="32"/>
          <w:highlight w:val="none"/>
        </w:rPr>
      </w:pPr>
      <w:r>
        <w:rPr>
          <w:rFonts w:hint="eastAsia" w:ascii="仿宋_GB2312" w:hAnsi="仿宋" w:eastAsia="仿宋_GB2312"/>
          <w:b/>
          <w:bCs/>
          <w:color w:val="auto"/>
          <w:sz w:val="32"/>
          <w:szCs w:val="32"/>
          <w:highlight w:val="none"/>
        </w:rPr>
        <w:t>第二条</w:t>
      </w:r>
      <w:r>
        <w:rPr>
          <w:rFonts w:hint="eastAsia" w:ascii="仿宋_GB2312" w:hAnsi="仿宋" w:eastAsia="仿宋_GB2312"/>
          <w:color w:val="auto"/>
          <w:sz w:val="32"/>
          <w:szCs w:val="32"/>
          <w:highlight w:val="none"/>
        </w:rPr>
        <w:t xml:space="preserve"> </w:t>
      </w:r>
      <w:r>
        <w:rPr>
          <w:rFonts w:hint="eastAsia" w:ascii="仿宋_GB2312" w:hAnsi="仿宋" w:eastAsia="仿宋_GB2312"/>
          <w:color w:val="auto"/>
          <w:sz w:val="32"/>
          <w:szCs w:val="32"/>
          <w:highlight w:val="none"/>
          <w:lang w:val="en-US" w:eastAsia="zh-CN"/>
        </w:rPr>
        <w:t>本办法所称依托单位，是指经北京市自然科学基金委员会办公室（以下简称“基金办”）审核，予以注册的单位。</w:t>
      </w:r>
    </w:p>
    <w:p>
      <w:pPr>
        <w:spacing w:line="560" w:lineRule="exact"/>
        <w:ind w:firstLine="643" w:firstLineChars="200"/>
        <w:rPr>
          <w:rFonts w:hint="eastAsia" w:ascii="仿宋_GB2312" w:hAnsi="仿宋" w:eastAsia="仿宋_GB2312"/>
          <w:color w:val="auto"/>
          <w:sz w:val="32"/>
          <w:szCs w:val="32"/>
          <w:highlight w:val="none"/>
          <w:lang w:val="en-US" w:eastAsia="zh-CN"/>
        </w:rPr>
      </w:pPr>
      <w:r>
        <w:rPr>
          <w:rFonts w:hint="eastAsia" w:ascii="仿宋_GB2312" w:hAnsi="仿宋" w:eastAsia="仿宋_GB2312"/>
          <w:b/>
          <w:bCs/>
          <w:color w:val="auto"/>
          <w:sz w:val="32"/>
          <w:szCs w:val="32"/>
          <w:highlight w:val="none"/>
        </w:rPr>
        <w:t>第三条</w:t>
      </w:r>
      <w:r>
        <w:rPr>
          <w:rFonts w:hint="eastAsia" w:ascii="仿宋_GB2312" w:hAnsi="仿宋" w:eastAsia="仿宋_GB2312"/>
          <w:color w:val="auto"/>
          <w:sz w:val="32"/>
          <w:szCs w:val="32"/>
          <w:highlight w:val="none"/>
        </w:rPr>
        <w:t xml:space="preserve"> </w:t>
      </w:r>
      <w:r>
        <w:rPr>
          <w:rFonts w:hint="eastAsia" w:ascii="仿宋_GB2312" w:hAnsi="仿宋" w:eastAsia="仿宋_GB2312"/>
          <w:color w:val="auto"/>
          <w:sz w:val="32"/>
          <w:szCs w:val="32"/>
          <w:highlight w:val="none"/>
          <w:lang w:val="en-US" w:eastAsia="zh-CN"/>
        </w:rPr>
        <w:t>基金办在依托单位管理中履行下列职责：</w:t>
      </w:r>
    </w:p>
    <w:p>
      <w:pPr>
        <w:spacing w:line="560" w:lineRule="exact"/>
        <w:ind w:firstLine="640" w:firstLineChars="200"/>
        <w:rPr>
          <w:rFonts w:hint="eastAsia" w:ascii="仿宋_GB2312" w:hAnsi="仿宋" w:eastAsia="仿宋_GB2312"/>
          <w:color w:val="auto"/>
          <w:sz w:val="32"/>
          <w:szCs w:val="32"/>
          <w:highlight w:val="none"/>
          <w:lang w:val="en-US" w:eastAsia="zh-CN"/>
        </w:rPr>
      </w:pPr>
      <w:r>
        <w:rPr>
          <w:rFonts w:hint="eastAsia" w:ascii="仿宋_GB2312" w:hAnsi="仿宋" w:eastAsia="仿宋_GB2312"/>
          <w:color w:val="auto"/>
          <w:sz w:val="32"/>
          <w:szCs w:val="32"/>
          <w:highlight w:val="none"/>
          <w:lang w:val="en-US" w:eastAsia="zh-CN"/>
        </w:rPr>
        <w:t>（一）受理和决定依托单位注册申请、变更以及注销；</w:t>
      </w:r>
    </w:p>
    <w:p>
      <w:pPr>
        <w:spacing w:line="560" w:lineRule="exact"/>
        <w:ind w:firstLine="640" w:firstLineChars="200"/>
        <w:rPr>
          <w:rFonts w:hint="eastAsia" w:ascii="仿宋_GB2312" w:hAnsi="仿宋" w:eastAsia="仿宋_GB2312"/>
          <w:color w:val="auto"/>
          <w:sz w:val="32"/>
          <w:szCs w:val="32"/>
          <w:highlight w:val="none"/>
          <w:lang w:val="en-US" w:eastAsia="zh-CN"/>
        </w:rPr>
      </w:pPr>
      <w:r>
        <w:rPr>
          <w:rFonts w:hint="eastAsia" w:ascii="仿宋_GB2312" w:hAnsi="仿宋" w:eastAsia="仿宋_GB2312"/>
          <w:color w:val="auto"/>
          <w:sz w:val="32"/>
          <w:szCs w:val="32"/>
          <w:highlight w:val="none"/>
          <w:lang w:val="en-US" w:eastAsia="zh-CN"/>
        </w:rPr>
        <w:t>（二）指导依托单位基金管理工作和组织培训；</w:t>
      </w:r>
    </w:p>
    <w:p>
      <w:pPr>
        <w:spacing w:line="560" w:lineRule="exact"/>
        <w:ind w:firstLine="640" w:firstLineChars="200"/>
        <w:rPr>
          <w:rFonts w:hint="eastAsia" w:ascii="仿宋_GB2312" w:hAnsi="仿宋" w:eastAsia="仿宋_GB2312"/>
          <w:color w:val="auto"/>
          <w:sz w:val="32"/>
          <w:szCs w:val="32"/>
          <w:highlight w:val="none"/>
          <w:lang w:val="en-US" w:eastAsia="zh-CN"/>
        </w:rPr>
      </w:pPr>
      <w:r>
        <w:rPr>
          <w:rFonts w:hint="eastAsia" w:ascii="仿宋_GB2312" w:hAnsi="仿宋" w:eastAsia="仿宋_GB2312"/>
          <w:color w:val="auto"/>
          <w:sz w:val="32"/>
          <w:szCs w:val="32"/>
          <w:highlight w:val="none"/>
          <w:lang w:val="en-US" w:eastAsia="zh-CN"/>
        </w:rPr>
        <w:t>（三）监督依托单位的基金管理工作；</w:t>
      </w:r>
    </w:p>
    <w:p>
      <w:pPr>
        <w:spacing w:line="560" w:lineRule="exact"/>
        <w:ind w:firstLine="640" w:firstLineChars="200"/>
        <w:rPr>
          <w:rFonts w:hint="eastAsia" w:ascii="仿宋_GB2312" w:hAnsi="仿宋" w:eastAsia="仿宋_GB2312" w:cs="Times New Roman"/>
          <w:color w:val="000000" w:themeColor="text1"/>
          <w:sz w:val="32"/>
          <w:szCs w:val="32"/>
          <w:highlight w:val="none"/>
          <w:lang w:val="en-US" w:eastAsia="zh-CN"/>
          <w14:textFill>
            <w14:solidFill>
              <w14:schemeClr w14:val="tx1"/>
            </w14:solidFill>
          </w14:textFill>
        </w:rPr>
      </w:pPr>
      <w:r>
        <w:rPr>
          <w:rFonts w:hint="eastAsia" w:ascii="仿宋_GB2312" w:hAnsi="仿宋" w:eastAsia="仿宋_GB2312"/>
          <w:color w:val="auto"/>
          <w:sz w:val="32"/>
          <w:szCs w:val="32"/>
          <w:highlight w:val="none"/>
          <w:lang w:val="en-US" w:eastAsia="zh-CN"/>
        </w:rPr>
        <w:t>（四）其他与依托单位的基金管理相关的工作。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 w:eastAsia="仿宋_GB2312"/>
          <w:color w:val="000000" w:themeColor="text1"/>
          <w:sz w:val="32"/>
          <w:szCs w:val="32"/>
          <w:highlight w:val="none"/>
          <w:lang w:val="en-US" w:eastAsia="zh-CN"/>
          <w14:textFill>
            <w14:solidFill>
              <w14:schemeClr w14:val="tx1"/>
            </w14:solidFill>
          </w14:textFill>
        </w:rPr>
      </w:pPr>
      <w:r>
        <w:rPr>
          <w:rFonts w:hint="eastAsia" w:ascii="仿宋_GB2312" w:hAnsi="仿宋" w:eastAsia="仿宋_GB2312"/>
          <w:b/>
          <w:bCs/>
          <w:color w:val="000000" w:themeColor="text1"/>
          <w:sz w:val="32"/>
          <w:szCs w:val="32"/>
          <w:highlight w:val="none"/>
          <w14:textFill>
            <w14:solidFill>
              <w14:schemeClr w14:val="tx1"/>
            </w14:solidFill>
          </w14:textFill>
        </w:rPr>
        <w:t>第四条</w:t>
      </w:r>
      <w:r>
        <w:rPr>
          <w:rFonts w:hint="eastAsia" w:ascii="仿宋_GB2312" w:hAnsi="仿宋" w:eastAsia="仿宋_GB2312"/>
          <w:color w:val="000000" w:themeColor="text1"/>
          <w:sz w:val="32"/>
          <w:szCs w:val="32"/>
          <w:highlight w:val="none"/>
          <w14:textFill>
            <w14:solidFill>
              <w14:schemeClr w14:val="tx1"/>
            </w14:solidFill>
          </w14:textFill>
        </w:rPr>
        <w:t xml:space="preserve"> </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依托单位在基金资助管理工作中履行下列职责：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olor w:val="000000" w:themeColor="text1"/>
          <w:sz w:val="32"/>
          <w:szCs w:val="32"/>
          <w:highlight w:val="none"/>
          <w:lang w:val="en-US" w:eastAsia="zh-CN"/>
          <w14:textFill>
            <w14:solidFill>
              <w14:schemeClr w14:val="tx1"/>
            </w14:solidFill>
          </w14:textFill>
        </w:rPr>
      </w:pPr>
      <w:r>
        <w:rPr>
          <w:rFonts w:hint="eastAsia" w:ascii="仿宋_GB2312" w:hAnsi="仿宋" w:eastAsia="仿宋_GB2312"/>
          <w:color w:val="000000" w:themeColor="text1"/>
          <w:sz w:val="32"/>
          <w:szCs w:val="32"/>
          <w:highlight w:val="none"/>
          <w:lang w:val="en-US" w:eastAsia="zh-CN"/>
          <w14:textFill>
            <w14:solidFill>
              <w14:schemeClr w14:val="tx1"/>
            </w14:solidFill>
          </w14:textFill>
        </w:rPr>
        <w:t>（一）建立和完善基金资助项目实施和资金管理、科研诚信管理等制度，遵守科学技术活动管理规范；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olor w:val="000000" w:themeColor="text1"/>
          <w:sz w:val="32"/>
          <w:szCs w:val="32"/>
          <w:highlight w:val="none"/>
          <w:lang w:val="en-US" w:eastAsia="zh-CN"/>
          <w14:textFill>
            <w14:solidFill>
              <w14:schemeClr w14:val="tx1"/>
            </w14:solidFill>
          </w14:textFill>
        </w:rPr>
      </w:pPr>
      <w:r>
        <w:rPr>
          <w:rFonts w:hint="eastAsia" w:ascii="仿宋_GB2312" w:hAnsi="仿宋" w:eastAsia="仿宋_GB2312"/>
          <w:color w:val="000000" w:themeColor="text1"/>
          <w:sz w:val="32"/>
          <w:szCs w:val="32"/>
          <w:highlight w:val="none"/>
          <w:lang w:val="en-US" w:eastAsia="zh-CN"/>
          <w14:textFill>
            <w14:solidFill>
              <w14:schemeClr w14:val="tx1"/>
            </w14:solidFill>
          </w14:textFill>
        </w:rPr>
        <w:t>（二）建设基金管理队伍，组织基金管理人员积极参加基金办组织的培训活动，保障管理人员相对稳定和人员变动时的工作衔接，提升管理能力与服务效能；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olor w:val="000000" w:themeColor="text1"/>
          <w:sz w:val="32"/>
          <w:szCs w:val="32"/>
          <w:highlight w:val="none"/>
          <w:lang w:val="en-US" w:eastAsia="zh-CN"/>
          <w14:textFill>
            <w14:solidFill>
              <w14:schemeClr w14:val="tx1"/>
            </w14:solidFill>
          </w14:textFill>
        </w:rPr>
      </w:pPr>
      <w:r>
        <w:rPr>
          <w:rFonts w:hint="eastAsia" w:ascii="仿宋_GB2312" w:hAnsi="仿宋" w:eastAsia="仿宋_GB2312"/>
          <w:color w:val="000000" w:themeColor="text1"/>
          <w:sz w:val="32"/>
          <w:szCs w:val="32"/>
          <w:highlight w:val="none"/>
          <w:lang w:val="en-US" w:eastAsia="zh-CN"/>
          <w14:textFill>
            <w14:solidFill>
              <w14:schemeClr w14:val="tx1"/>
            </w14:solidFill>
          </w14:textFill>
        </w:rPr>
        <w:t>（三）组织申请人申请自然科学基金资助；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olor w:val="000000" w:themeColor="text1"/>
          <w:sz w:val="32"/>
          <w:szCs w:val="32"/>
          <w:highlight w:val="none"/>
          <w:lang w:val="en-US" w:eastAsia="zh-CN"/>
          <w14:textFill>
            <w14:solidFill>
              <w14:schemeClr w14:val="tx1"/>
            </w14:solidFill>
          </w14:textFill>
        </w:rPr>
      </w:pPr>
      <w:r>
        <w:rPr>
          <w:rFonts w:hint="eastAsia" w:ascii="仿宋_GB2312" w:hAnsi="仿宋" w:eastAsia="仿宋_GB2312"/>
          <w:color w:val="000000" w:themeColor="text1"/>
          <w:sz w:val="32"/>
          <w:szCs w:val="32"/>
          <w:highlight w:val="none"/>
          <w:lang w:val="en-US" w:eastAsia="zh-CN"/>
          <w14:textFill>
            <w14:solidFill>
              <w14:schemeClr w14:val="tx1"/>
            </w14:solidFill>
          </w14:textFill>
        </w:rPr>
        <w:t>（四）为申请人、项目负责人所提交材料的规范性提供指导，审核相关材料的真实性；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olor w:val="000000" w:themeColor="text1"/>
          <w:sz w:val="32"/>
          <w:szCs w:val="32"/>
          <w:highlight w:val="none"/>
          <w:lang w:val="en-US" w:eastAsia="zh-CN"/>
          <w14:textFill>
            <w14:solidFill>
              <w14:schemeClr w14:val="tx1"/>
            </w14:solidFill>
          </w14:textFill>
        </w:rPr>
      </w:pPr>
      <w:r>
        <w:rPr>
          <w:rFonts w:hint="eastAsia" w:ascii="仿宋_GB2312" w:hAnsi="仿宋" w:eastAsia="仿宋_GB2312"/>
          <w:color w:val="000000" w:themeColor="text1"/>
          <w:sz w:val="32"/>
          <w:szCs w:val="32"/>
          <w:highlight w:val="none"/>
          <w:lang w:val="en-US" w:eastAsia="zh-CN"/>
          <w14:textFill>
            <w14:solidFill>
              <w14:schemeClr w14:val="tx1"/>
            </w14:solidFill>
          </w14:textFill>
        </w:rPr>
        <w:t>（五）提供基金资助项目实施的条件，保障项目负责人和参与人实施基金资助项目的时间，为其潜心科研创造良好条件；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olor w:val="000000" w:themeColor="text1"/>
          <w:sz w:val="32"/>
          <w:szCs w:val="32"/>
          <w:highlight w:val="none"/>
          <w:lang w:val="en-US" w:eastAsia="zh-CN"/>
          <w14:textFill>
            <w14:solidFill>
              <w14:schemeClr w14:val="tx1"/>
            </w14:solidFill>
          </w14:textFill>
        </w:rPr>
      </w:pPr>
      <w:r>
        <w:rPr>
          <w:rFonts w:hint="eastAsia" w:ascii="仿宋_GB2312" w:hAnsi="仿宋" w:eastAsia="仿宋_GB2312"/>
          <w:color w:val="000000" w:themeColor="text1"/>
          <w:sz w:val="32"/>
          <w:szCs w:val="32"/>
          <w:highlight w:val="none"/>
          <w:lang w:val="en-US" w:eastAsia="zh-CN"/>
          <w14:textFill>
            <w14:solidFill>
              <w14:schemeClr w14:val="tx1"/>
            </w14:solidFill>
          </w14:textFill>
        </w:rPr>
        <w:t>（六）跟踪服务基金资助项目的实施，管理和监督基金资助经费的使用；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olor w:val="000000" w:themeColor="text1"/>
          <w:sz w:val="32"/>
          <w:szCs w:val="32"/>
          <w:highlight w:val="none"/>
          <w:lang w:val="en-US" w:eastAsia="zh-CN"/>
          <w14:textFill>
            <w14:solidFill>
              <w14:schemeClr w14:val="tx1"/>
            </w14:solidFill>
          </w14:textFill>
        </w:rPr>
      </w:pPr>
      <w:r>
        <w:rPr>
          <w:rFonts w:hint="eastAsia" w:ascii="仿宋_GB2312" w:hAnsi="仿宋" w:eastAsia="仿宋_GB2312"/>
          <w:color w:val="000000" w:themeColor="text1"/>
          <w:sz w:val="32"/>
          <w:szCs w:val="32"/>
          <w:highlight w:val="none"/>
          <w:lang w:val="en-US" w:eastAsia="zh-CN"/>
          <w14:textFill>
            <w14:solidFill>
              <w14:schemeClr w14:val="tx1"/>
            </w14:solidFill>
          </w14:textFill>
        </w:rPr>
        <w:t>（七）配合基金办对基金资助项目的实施和经费的使用进行监督、检查和绩效评价；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olor w:val="000000" w:themeColor="text1"/>
          <w:sz w:val="32"/>
          <w:szCs w:val="32"/>
          <w:highlight w:val="none"/>
          <w:lang w:val="en-US" w:eastAsia="zh-CN"/>
          <w14:textFill>
            <w14:solidFill>
              <w14:schemeClr w14:val="tx1"/>
            </w14:solidFill>
          </w14:textFill>
        </w:rPr>
      </w:pPr>
      <w:r>
        <w:rPr>
          <w:rFonts w:hint="eastAsia" w:ascii="仿宋_GB2312" w:hAnsi="仿宋" w:eastAsia="仿宋_GB2312"/>
          <w:color w:val="000000" w:themeColor="text1"/>
          <w:sz w:val="32"/>
          <w:szCs w:val="32"/>
          <w:highlight w:val="none"/>
          <w:lang w:val="en-US" w:eastAsia="zh-CN"/>
          <w14:textFill>
            <w14:solidFill>
              <w14:schemeClr w14:val="tx1"/>
            </w14:solidFill>
          </w14:textFill>
        </w:rPr>
        <w:t>（八）加强基金资助项目研究成果的知识产权保护，支持研究成果开放获取，促进研究成果转化；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olor w:val="000000" w:themeColor="text1"/>
          <w:sz w:val="32"/>
          <w:szCs w:val="32"/>
          <w:highlight w:val="none"/>
          <w:lang w:val="en-US" w:eastAsia="zh-CN"/>
          <w14:textFill>
            <w14:solidFill>
              <w14:schemeClr w14:val="tx1"/>
            </w14:solidFill>
          </w14:textFill>
        </w:rPr>
      </w:pPr>
      <w:r>
        <w:rPr>
          <w:rFonts w:hint="eastAsia" w:ascii="仿宋_GB2312" w:hAnsi="仿宋" w:eastAsia="仿宋_GB2312"/>
          <w:color w:val="000000" w:themeColor="text1"/>
          <w:sz w:val="32"/>
          <w:szCs w:val="32"/>
          <w:highlight w:val="none"/>
          <w:lang w:val="en-US" w:eastAsia="zh-CN"/>
          <w14:textFill>
            <w14:solidFill>
              <w14:schemeClr w14:val="tx1"/>
            </w14:solidFill>
          </w14:textFill>
        </w:rPr>
        <w:t>（九）对违反科研诚信、科技伦理、科研活动规范的行为进行调查处理；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olor w:val="000000" w:themeColor="text1"/>
          <w:sz w:val="32"/>
          <w:szCs w:val="32"/>
          <w:highlight w:val="none"/>
          <w:lang w:val="en-US" w:eastAsia="zh-CN"/>
          <w14:textFill>
            <w14:solidFill>
              <w14:schemeClr w14:val="tx1"/>
            </w14:solidFill>
          </w14:textFill>
        </w:rPr>
      </w:pPr>
      <w:r>
        <w:rPr>
          <w:rFonts w:hint="eastAsia" w:ascii="仿宋_GB2312" w:hAnsi="仿宋" w:eastAsia="仿宋_GB2312"/>
          <w:color w:val="000000" w:themeColor="text1"/>
          <w:sz w:val="32"/>
          <w:szCs w:val="32"/>
          <w:highlight w:val="none"/>
          <w:lang w:val="en-US" w:eastAsia="zh-CN"/>
          <w14:textFill>
            <w14:solidFill>
              <w14:schemeClr w14:val="tx1"/>
            </w14:solidFill>
          </w14:textFill>
        </w:rPr>
        <w:t>（十）基金办委托的其他工作。</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color w:val="000000" w:themeColor="text1"/>
          <w:sz w:val="32"/>
          <w:szCs w:val="32"/>
          <w:highlight w:val="none"/>
          <w:lang w:val="en-US" w:eastAsia="zh-CN"/>
          <w14:textFill>
            <w14:solidFill>
              <w14:schemeClr w14:val="tx1"/>
            </w14:solidFill>
          </w14:textFill>
        </w:rPr>
      </w:pPr>
      <w:r>
        <w:rPr>
          <w:rFonts w:hint="eastAsia" w:ascii="黑体" w:hAnsi="黑体" w:eastAsia="黑体" w:cs="黑体"/>
          <w:color w:val="000000" w:themeColor="text1"/>
          <w:sz w:val="32"/>
          <w:szCs w:val="32"/>
          <w:highlight w:val="none"/>
          <w:lang w:val="en-US" w:eastAsia="zh-CN"/>
          <w14:textFill>
            <w14:solidFill>
              <w14:schemeClr w14:val="tx1"/>
            </w14:solidFill>
          </w14:textFill>
        </w:rPr>
        <w:t>第二章  注 册</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 w:eastAsia="仿宋_GB2312"/>
          <w:color w:val="000000" w:themeColor="text1"/>
          <w:sz w:val="32"/>
          <w:szCs w:val="32"/>
          <w:highlight w:val="none"/>
          <w:lang w:val="en-US" w:eastAsia="zh-CN"/>
          <w14:textFill>
            <w14:solidFill>
              <w14:schemeClr w14:val="tx1"/>
            </w14:solidFill>
          </w14:textFill>
        </w:rPr>
      </w:pPr>
      <w:r>
        <w:rPr>
          <w:rFonts w:hint="eastAsia" w:ascii="仿宋_GB2312" w:hAnsi="仿宋" w:eastAsia="仿宋_GB2312"/>
          <w:b/>
          <w:bCs/>
          <w:color w:val="000000" w:themeColor="text1"/>
          <w:sz w:val="32"/>
          <w:szCs w:val="32"/>
          <w:highlight w:val="none"/>
          <w14:textFill>
            <w14:solidFill>
              <w14:schemeClr w14:val="tx1"/>
            </w14:solidFill>
          </w14:textFill>
        </w:rPr>
        <w:t>第五条</w:t>
      </w:r>
      <w:r>
        <w:rPr>
          <w:rFonts w:hint="eastAsia" w:ascii="仿宋_GB2312" w:hAnsi="仿宋" w:eastAsia="仿宋_GB2312"/>
          <w:color w:val="000000" w:themeColor="text1"/>
          <w:sz w:val="32"/>
          <w:szCs w:val="32"/>
          <w:highlight w:val="none"/>
          <w14:textFill>
            <w14:solidFill>
              <w14:schemeClr w14:val="tx1"/>
            </w14:solidFill>
          </w14:textFill>
        </w:rPr>
        <w:t xml:space="preserve"> </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本市行政区域内的科研机构、高等学校、医疗卫生机构、企业等单位以及从事科学研究的其他组织具备下列条件的，可以向基金办申请注册为依托单位：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olor w:val="000000" w:themeColor="text1"/>
          <w:sz w:val="32"/>
          <w:szCs w:val="32"/>
          <w:highlight w:val="none"/>
          <w:lang w:val="en-US" w:eastAsia="zh-CN"/>
          <w14:textFill>
            <w14:solidFill>
              <w14:schemeClr w14:val="tx1"/>
            </w14:solidFill>
          </w14:textFill>
        </w:rPr>
      </w:pPr>
      <w:r>
        <w:rPr>
          <w:rFonts w:hint="eastAsia" w:ascii="仿宋_GB2312" w:hAnsi="仿宋" w:eastAsia="仿宋_GB2312"/>
          <w:color w:val="000000" w:themeColor="text1"/>
          <w:sz w:val="32"/>
          <w:szCs w:val="32"/>
          <w:highlight w:val="none"/>
          <w:lang w:val="en-US" w:eastAsia="zh-CN"/>
          <w14:textFill>
            <w14:solidFill>
              <w14:schemeClr w14:val="tx1"/>
            </w14:solidFill>
          </w14:textFill>
        </w:rPr>
        <w:t>（一）在本市行政区域内依法成立，具有独立法人资格；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olor w:val="000000" w:themeColor="text1"/>
          <w:sz w:val="32"/>
          <w:szCs w:val="32"/>
          <w:highlight w:val="none"/>
          <w:lang w:val="en-US" w:eastAsia="zh-CN"/>
          <w14:textFill>
            <w14:solidFill>
              <w14:schemeClr w14:val="tx1"/>
            </w14:solidFill>
          </w14:textFill>
        </w:rPr>
      </w:pPr>
      <w:r>
        <w:rPr>
          <w:rFonts w:hint="eastAsia" w:ascii="仿宋_GB2312" w:hAnsi="仿宋" w:eastAsia="仿宋_GB2312"/>
          <w:color w:val="000000" w:themeColor="text1"/>
          <w:sz w:val="32"/>
          <w:szCs w:val="32"/>
          <w:highlight w:val="none"/>
          <w:lang w:val="en-US" w:eastAsia="zh-CN"/>
          <w14:textFill>
            <w14:solidFill>
              <w14:schemeClr w14:val="tx1"/>
            </w14:solidFill>
          </w14:textFill>
        </w:rPr>
        <w:t>（二）具备包括财务和资产等管理制度的内部控制管理体系，该体系应完善且符合基金工作要求；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olor w:val="000000" w:themeColor="text1"/>
          <w:sz w:val="32"/>
          <w:szCs w:val="32"/>
          <w:highlight w:val="none"/>
          <w:lang w:val="en-US" w:eastAsia="zh-CN"/>
          <w14:textFill>
            <w14:solidFill>
              <w14:schemeClr w14:val="tx1"/>
            </w14:solidFill>
          </w14:textFill>
        </w:rPr>
      </w:pPr>
      <w:r>
        <w:rPr>
          <w:rFonts w:hint="eastAsia" w:ascii="仿宋_GB2312" w:hAnsi="仿宋" w:eastAsia="仿宋_GB2312"/>
          <w:color w:val="000000" w:themeColor="text1"/>
          <w:sz w:val="32"/>
          <w:szCs w:val="32"/>
          <w:highlight w:val="none"/>
          <w:lang w:val="en-US" w:eastAsia="zh-CN"/>
          <w14:textFill>
            <w14:solidFill>
              <w14:schemeClr w14:val="tx1"/>
            </w14:solidFill>
          </w14:textFill>
        </w:rPr>
        <w:t>（三）具有科研管理机构和科研诚信等科研管理制度，设置“专人专岗”联系人制度；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olor w:val="000000" w:themeColor="text1"/>
          <w:sz w:val="32"/>
          <w:szCs w:val="32"/>
          <w:highlight w:val="none"/>
          <w:lang w:val="en-US" w:eastAsia="zh-CN"/>
          <w14:textFill>
            <w14:solidFill>
              <w14:schemeClr w14:val="tx1"/>
            </w14:solidFill>
          </w14:textFill>
        </w:rPr>
      </w:pPr>
      <w:r>
        <w:rPr>
          <w:rFonts w:hint="eastAsia" w:ascii="仿宋_GB2312" w:hAnsi="仿宋" w:eastAsia="仿宋_GB2312"/>
          <w:color w:val="000000" w:themeColor="text1"/>
          <w:sz w:val="32"/>
          <w:szCs w:val="32"/>
          <w:highlight w:val="none"/>
          <w:lang w:val="en-US" w:eastAsia="zh-CN"/>
          <w14:textFill>
            <w14:solidFill>
              <w14:schemeClr w14:val="tx1"/>
            </w14:solidFill>
          </w14:textFill>
        </w:rPr>
        <w:t>（四）在相关研究领域具有一定的研究基础，具有完成项目所需的团队和基础条件，从事研发和相关技术创新活动的科技人员占职工总数的比例不低于10%；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olor w:val="000000" w:themeColor="text1"/>
          <w:sz w:val="32"/>
          <w:szCs w:val="32"/>
          <w:highlight w:val="none"/>
          <w:lang w:val="en-US" w:eastAsia="zh-CN"/>
          <w14:textFill>
            <w14:solidFill>
              <w14:schemeClr w14:val="tx1"/>
            </w14:solidFill>
          </w14:textFill>
        </w:rPr>
      </w:pPr>
      <w:r>
        <w:rPr>
          <w:rFonts w:hint="eastAsia" w:ascii="仿宋_GB2312" w:hAnsi="仿宋" w:eastAsia="仿宋_GB2312"/>
          <w:color w:val="000000" w:themeColor="text1"/>
          <w:sz w:val="32"/>
          <w:szCs w:val="32"/>
          <w:highlight w:val="none"/>
          <w:lang w:val="en-US" w:eastAsia="zh-CN"/>
          <w14:textFill>
            <w14:solidFill>
              <w14:schemeClr w14:val="tx1"/>
            </w14:solidFill>
          </w14:textFill>
        </w:rPr>
        <w:t>（五）涉及企业的，原则上还应为有关部门认定的高新技术企业或外资研发中心；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olor w:val="000000" w:themeColor="text1"/>
          <w:sz w:val="32"/>
          <w:szCs w:val="32"/>
          <w:highlight w:val="none"/>
          <w:lang w:val="en-US" w:eastAsia="zh-CN"/>
          <w14:textFill>
            <w14:solidFill>
              <w14:schemeClr w14:val="tx1"/>
            </w14:solidFill>
          </w14:textFill>
        </w:rPr>
      </w:pPr>
      <w:r>
        <w:rPr>
          <w:rFonts w:hint="eastAsia" w:ascii="仿宋_GB2312" w:hAnsi="仿宋" w:eastAsia="仿宋_GB2312"/>
          <w:color w:val="000000" w:themeColor="text1"/>
          <w:sz w:val="32"/>
          <w:szCs w:val="32"/>
          <w:highlight w:val="none"/>
          <w:lang w:val="en-US" w:eastAsia="zh-CN"/>
          <w14:textFill>
            <w14:solidFill>
              <w14:schemeClr w14:val="tx1"/>
            </w14:solidFill>
          </w14:textFill>
        </w:rPr>
        <w:t>（六）近三年未发生重大安全（含网络安全、数据安全）、质量、环境污染等事故，严重失信、偷漏税等违法违规行为，且不存在数据造假等；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olor w:val="000000" w:themeColor="text1"/>
          <w:sz w:val="32"/>
          <w:szCs w:val="32"/>
          <w:highlight w:val="none"/>
          <w:lang w:val="en-US" w:eastAsia="zh-CN"/>
          <w14:textFill>
            <w14:solidFill>
              <w14:schemeClr w14:val="tx1"/>
            </w14:solidFill>
          </w14:textFill>
        </w:rPr>
      </w:pPr>
      <w:r>
        <w:rPr>
          <w:rFonts w:hint="eastAsia" w:ascii="仿宋_GB2312" w:hAnsi="仿宋" w:eastAsia="仿宋_GB2312"/>
          <w:color w:val="000000" w:themeColor="text1"/>
          <w:sz w:val="32"/>
          <w:szCs w:val="32"/>
          <w:highlight w:val="none"/>
          <w:lang w:val="en-US" w:eastAsia="zh-CN"/>
          <w14:textFill>
            <w14:solidFill>
              <w14:schemeClr w14:val="tx1"/>
            </w14:solidFill>
          </w14:textFill>
        </w:rPr>
        <w:t>（七）无在惩戒期的严重失信记录。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olor w:val="000000" w:themeColor="text1"/>
          <w:sz w:val="32"/>
          <w:szCs w:val="32"/>
          <w:highlight w:val="none"/>
          <w:lang w:val="en-US" w:eastAsia="zh-CN"/>
          <w14:textFill>
            <w14:solidFill>
              <w14:schemeClr w14:val="tx1"/>
            </w14:solidFill>
          </w14:textFill>
        </w:rPr>
      </w:pPr>
      <w:r>
        <w:rPr>
          <w:rFonts w:hint="eastAsia" w:ascii="仿宋_GB2312" w:hAnsi="仿宋" w:eastAsia="仿宋_GB2312"/>
          <w:color w:val="000000" w:themeColor="text1"/>
          <w:sz w:val="32"/>
          <w:szCs w:val="32"/>
          <w:highlight w:val="none"/>
          <w:lang w:val="en-US" w:eastAsia="zh-CN"/>
          <w14:textFill>
            <w14:solidFill>
              <w14:schemeClr w14:val="tx1"/>
            </w14:solidFill>
          </w14:textFill>
        </w:rPr>
        <w:t>经市科委中关村管委会和市商务局牵头认定的外资研发中心，注册申请实行备案制。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olor w:val="000000" w:themeColor="text1"/>
          <w:sz w:val="32"/>
          <w:szCs w:val="32"/>
          <w:highlight w:val="none"/>
          <w:lang w:val="en-US" w:eastAsia="zh-CN"/>
          <w14:textFill>
            <w14:solidFill>
              <w14:schemeClr w14:val="tx1"/>
            </w14:solidFill>
          </w14:textFill>
        </w:rPr>
      </w:pPr>
      <w:r>
        <w:rPr>
          <w:rFonts w:hint="eastAsia" w:ascii="仿宋_GB2312" w:hAnsi="仿宋" w:eastAsia="仿宋_GB2312"/>
          <w:color w:val="000000" w:themeColor="text1"/>
          <w:sz w:val="32"/>
          <w:szCs w:val="32"/>
          <w:highlight w:val="none"/>
          <w:lang w:val="en-US" w:eastAsia="zh-CN"/>
          <w14:textFill>
            <w14:solidFill>
              <w14:schemeClr w14:val="tx1"/>
            </w14:solidFill>
          </w14:textFill>
        </w:rPr>
        <w:t>国有独资公司、国有资本控股公司等国有企业参照上述标准执行。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color w:val="000000" w:themeColor="text1"/>
          <w:sz w:val="32"/>
          <w:szCs w:val="32"/>
          <w:highlight w:val="none"/>
          <w:lang w:val="en-US" w:eastAsia="zh-CN"/>
          <w14:textFill>
            <w14:solidFill>
              <w14:schemeClr w14:val="tx1"/>
            </w14:solidFill>
          </w14:textFill>
        </w:rPr>
        <w:t>不受理政府机关、行业协会、社会团体的注册申请。</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b/>
          <w:bCs/>
          <w:color w:val="000000" w:themeColor="text1"/>
          <w:sz w:val="32"/>
          <w:szCs w:val="32"/>
          <w:highlight w:val="none"/>
          <w14:textFill>
            <w14:solidFill>
              <w14:schemeClr w14:val="tx1"/>
            </w14:solidFill>
          </w14:textFill>
        </w:rPr>
        <w:t>第六条</w:t>
      </w:r>
      <w:r>
        <w:rPr>
          <w:rFonts w:hint="eastAsia" w:ascii="仿宋_GB2312" w:hAnsi="仿宋" w:eastAsia="仿宋_GB2312"/>
          <w:color w:val="000000" w:themeColor="text1"/>
          <w:sz w:val="32"/>
          <w:szCs w:val="32"/>
          <w:highlight w:val="none"/>
          <w14:textFill>
            <w14:solidFill>
              <w14:schemeClr w14:val="tx1"/>
            </w14:solidFill>
          </w14:textFill>
        </w:rPr>
        <w:t xml:space="preserve"> </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注册程序包括申请、初步审核、受理、基础研究及管理能力审查、决定、结果公布与通知。</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 w:eastAsia="仿宋_GB2312"/>
          <w:color w:val="000000" w:themeColor="text1"/>
          <w:sz w:val="32"/>
          <w:szCs w:val="32"/>
          <w:highlight w:val="none"/>
          <w:lang w:val="en-US" w:eastAsia="zh-CN"/>
          <w14:textFill>
            <w14:solidFill>
              <w14:schemeClr w14:val="tx1"/>
            </w14:solidFill>
          </w14:textFill>
        </w:rPr>
      </w:pPr>
      <w:r>
        <w:rPr>
          <w:rFonts w:hint="eastAsia" w:ascii="仿宋_GB2312" w:hAnsi="仿宋" w:eastAsia="仿宋_GB2312"/>
          <w:b/>
          <w:bCs/>
          <w:color w:val="000000" w:themeColor="text1"/>
          <w:sz w:val="32"/>
          <w:szCs w:val="32"/>
          <w:highlight w:val="none"/>
          <w14:textFill>
            <w14:solidFill>
              <w14:schemeClr w14:val="tx1"/>
            </w14:solidFill>
          </w14:textFill>
        </w:rPr>
        <w:t>第七条</w:t>
      </w:r>
      <w:r>
        <w:rPr>
          <w:rFonts w:hint="eastAsia" w:ascii="仿宋_GB2312" w:hAnsi="仿宋" w:eastAsia="仿宋_GB2312"/>
          <w:color w:val="000000" w:themeColor="text1"/>
          <w:sz w:val="32"/>
          <w:szCs w:val="32"/>
          <w:highlight w:val="none"/>
          <w14:textFill>
            <w14:solidFill>
              <w14:schemeClr w14:val="tx1"/>
            </w14:solidFill>
          </w14:textFill>
        </w:rPr>
        <w:t xml:space="preserve"> </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符合第五条规定的机构可以向基金办在线进行注册申请，申请单位须提交以下申请材料：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olor w:val="000000" w:themeColor="text1"/>
          <w:sz w:val="32"/>
          <w:szCs w:val="32"/>
          <w:highlight w:val="none"/>
          <w:lang w:val="en-US" w:eastAsia="zh-CN"/>
          <w14:textFill>
            <w14:solidFill>
              <w14:schemeClr w14:val="tx1"/>
            </w14:solidFill>
          </w14:textFill>
        </w:rPr>
      </w:pPr>
      <w:r>
        <w:rPr>
          <w:rFonts w:hint="eastAsia" w:ascii="仿宋_GB2312" w:hAnsi="仿宋" w:eastAsia="仿宋_GB2312"/>
          <w:color w:val="000000" w:themeColor="text1"/>
          <w:sz w:val="32"/>
          <w:szCs w:val="32"/>
          <w:highlight w:val="none"/>
          <w:lang w:val="en-US" w:eastAsia="zh-CN"/>
          <w14:textFill>
            <w14:solidFill>
              <w14:schemeClr w14:val="tx1"/>
            </w14:solidFill>
          </w14:textFill>
        </w:rPr>
        <w:t>（一）北京市自然科学基金依托单位注册申请书；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olor w:val="000000" w:themeColor="text1"/>
          <w:sz w:val="32"/>
          <w:szCs w:val="32"/>
          <w:highlight w:val="none"/>
          <w:lang w:val="en-US" w:eastAsia="zh-CN"/>
          <w14:textFill>
            <w14:solidFill>
              <w14:schemeClr w14:val="tx1"/>
            </w14:solidFill>
          </w14:textFill>
        </w:rPr>
      </w:pPr>
      <w:r>
        <w:rPr>
          <w:rFonts w:hint="eastAsia" w:ascii="仿宋_GB2312" w:hAnsi="仿宋" w:eastAsia="仿宋_GB2312"/>
          <w:color w:val="000000" w:themeColor="text1"/>
          <w:sz w:val="32"/>
          <w:szCs w:val="32"/>
          <w:highlight w:val="none"/>
          <w:lang w:val="en-US" w:eastAsia="zh-CN"/>
          <w14:textFill>
            <w14:solidFill>
              <w14:schemeClr w14:val="tx1"/>
            </w14:solidFill>
          </w14:textFill>
        </w:rPr>
        <w:t>（二）独立法人资格证书副本的复印件；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olor w:val="000000" w:themeColor="text1"/>
          <w:sz w:val="32"/>
          <w:szCs w:val="32"/>
          <w:highlight w:val="none"/>
          <w:lang w:val="en-US" w:eastAsia="zh-CN"/>
          <w14:textFill>
            <w14:solidFill>
              <w14:schemeClr w14:val="tx1"/>
            </w14:solidFill>
          </w14:textFill>
        </w:rPr>
      </w:pPr>
      <w:r>
        <w:rPr>
          <w:rFonts w:hint="eastAsia" w:ascii="仿宋_GB2312" w:hAnsi="仿宋" w:eastAsia="仿宋_GB2312"/>
          <w:color w:val="000000" w:themeColor="text1"/>
          <w:sz w:val="32"/>
          <w:szCs w:val="32"/>
          <w:highlight w:val="none"/>
          <w:lang w:val="en-US" w:eastAsia="zh-CN"/>
          <w14:textFill>
            <w14:solidFill>
              <w14:schemeClr w14:val="tx1"/>
            </w14:solidFill>
          </w14:textFill>
        </w:rPr>
        <w:t>（三）开户许可证或基本存款账户信息副本的复印件；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olor w:val="000000" w:themeColor="text1"/>
          <w:sz w:val="32"/>
          <w:szCs w:val="32"/>
          <w:highlight w:val="none"/>
          <w:lang w:val="en-US" w:eastAsia="zh-CN"/>
          <w14:textFill>
            <w14:solidFill>
              <w14:schemeClr w14:val="tx1"/>
            </w14:solidFill>
          </w14:textFill>
        </w:rPr>
      </w:pPr>
      <w:r>
        <w:rPr>
          <w:rFonts w:hint="eastAsia" w:ascii="仿宋_GB2312" w:hAnsi="仿宋" w:eastAsia="仿宋_GB2312"/>
          <w:color w:val="000000" w:themeColor="text1"/>
          <w:sz w:val="32"/>
          <w:szCs w:val="32"/>
          <w:highlight w:val="none"/>
          <w:lang w:val="en-US" w:eastAsia="zh-CN"/>
          <w14:textFill>
            <w14:solidFill>
              <w14:schemeClr w14:val="tx1"/>
            </w14:solidFill>
          </w14:textFill>
        </w:rPr>
        <w:t>（四）信用信息报告材料；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olor w:val="000000" w:themeColor="text1"/>
          <w:sz w:val="32"/>
          <w:szCs w:val="32"/>
          <w:highlight w:val="none"/>
          <w:lang w:val="en-US" w:eastAsia="zh-CN"/>
          <w14:textFill>
            <w14:solidFill>
              <w14:schemeClr w14:val="tx1"/>
            </w14:solidFill>
          </w14:textFill>
        </w:rPr>
      </w:pPr>
      <w:r>
        <w:rPr>
          <w:rFonts w:hint="eastAsia" w:ascii="仿宋_GB2312" w:hAnsi="仿宋" w:eastAsia="仿宋_GB2312"/>
          <w:color w:val="000000" w:themeColor="text1"/>
          <w:sz w:val="32"/>
          <w:szCs w:val="32"/>
          <w:highlight w:val="none"/>
          <w:lang w:val="en-US" w:eastAsia="zh-CN"/>
          <w14:textFill>
            <w14:solidFill>
              <w14:schemeClr w14:val="tx1"/>
            </w14:solidFill>
          </w14:textFill>
        </w:rPr>
        <w:t>（五）其他附件材料。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color w:val="000000" w:themeColor="text1"/>
          <w:sz w:val="32"/>
          <w:szCs w:val="32"/>
          <w:highlight w:val="none"/>
          <w:lang w:val="en-US" w:eastAsia="zh-CN"/>
          <w14:textFill>
            <w14:solidFill>
              <w14:schemeClr w14:val="tx1"/>
            </w14:solidFill>
          </w14:textFill>
        </w:rPr>
        <w:t>上述材料须加盖申请单位公章。</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b/>
          <w:bCs/>
          <w:color w:val="000000" w:themeColor="text1"/>
          <w:sz w:val="32"/>
          <w:szCs w:val="32"/>
          <w:highlight w:val="none"/>
          <w14:textFill>
            <w14:solidFill>
              <w14:schemeClr w14:val="tx1"/>
            </w14:solidFill>
          </w14:textFill>
        </w:rPr>
        <w:t>第八条</w:t>
      </w:r>
      <w:r>
        <w:rPr>
          <w:rFonts w:hint="eastAsia" w:ascii="仿宋_GB2312" w:hAnsi="仿宋" w:eastAsia="仿宋_GB2312"/>
          <w:color w:val="000000" w:themeColor="text1"/>
          <w:sz w:val="32"/>
          <w:szCs w:val="32"/>
          <w:highlight w:val="none"/>
          <w14:textFill>
            <w14:solidFill>
              <w14:schemeClr w14:val="tx1"/>
            </w14:solidFill>
          </w14:textFill>
        </w:rPr>
        <w:t xml:space="preserve"> </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申请单位应当对所提交材料的真实性和有效性负责。</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 w:eastAsia="仿宋_GB2312"/>
          <w:color w:val="000000" w:themeColor="text1"/>
          <w:sz w:val="32"/>
          <w:szCs w:val="32"/>
          <w:highlight w:val="none"/>
          <w:lang w:val="en-US" w:eastAsia="zh-CN"/>
          <w14:textFill>
            <w14:solidFill>
              <w14:schemeClr w14:val="tx1"/>
            </w14:solidFill>
          </w14:textFill>
        </w:rPr>
      </w:pPr>
      <w:r>
        <w:rPr>
          <w:rFonts w:hint="eastAsia" w:ascii="仿宋_GB2312" w:hAnsi="仿宋" w:eastAsia="仿宋_GB2312"/>
          <w:b/>
          <w:bCs/>
          <w:color w:val="000000" w:themeColor="text1"/>
          <w:sz w:val="32"/>
          <w:szCs w:val="32"/>
          <w:highlight w:val="none"/>
          <w14:textFill>
            <w14:solidFill>
              <w14:schemeClr w14:val="tx1"/>
            </w14:solidFill>
          </w14:textFill>
        </w:rPr>
        <w:t>第九条</w:t>
      </w:r>
      <w:r>
        <w:rPr>
          <w:rFonts w:hint="eastAsia" w:ascii="仿宋_GB2312" w:hAnsi="仿宋" w:eastAsia="仿宋_GB2312"/>
          <w:color w:val="000000" w:themeColor="text1"/>
          <w:sz w:val="32"/>
          <w:szCs w:val="32"/>
          <w:highlight w:val="none"/>
          <w14:textFill>
            <w14:solidFill>
              <w14:schemeClr w14:val="tx1"/>
            </w14:solidFill>
          </w14:textFill>
        </w:rPr>
        <w:t xml:space="preserve"> </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基金办根据注册申请材料初步审核结果、基础研究及管理能力审查情况作出决定。初步审核未通过的单位应在收到通知三个工作日内补齐补正相关材料，所补齐补正的材料符合要求的，进入后续审查程序；不能按时补齐补正全部材料或所补齐补正的材料不符合要求的，视为自愿放弃本批次注册申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color w:val="000000" w:themeColor="text1"/>
          <w:sz w:val="32"/>
          <w:szCs w:val="32"/>
          <w:highlight w:val="none"/>
          <w:lang w:val="en-US" w:eastAsia="zh-CN"/>
          <w14:textFill>
            <w14:solidFill>
              <w14:schemeClr w14:val="tx1"/>
            </w14:solidFill>
          </w14:textFill>
        </w:rPr>
        <w:t>基金办根据项目申报时间安排，每年分批次注册依托单位。决定不予注册的，应当通知申请单位并说明理由。</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cs="Times New Roman"/>
          <w:b/>
          <w:bCs/>
          <w:color w:val="000000" w:themeColor="text1"/>
          <w:kern w:val="2"/>
          <w:sz w:val="32"/>
          <w:szCs w:val="32"/>
          <w:lang w:val="en-US" w:eastAsia="zh-CN" w:bidi="ar-SA"/>
          <w14:textFill>
            <w14:solidFill>
              <w14:schemeClr w14:val="tx1"/>
            </w14:solidFill>
          </w14:textFill>
        </w:rPr>
        <w:t>第十条</w:t>
      </w:r>
      <w:r>
        <w:rPr>
          <w:rFonts w:hint="eastAsia" w:ascii="仿宋_GB2312" w:hAnsi="仿宋" w:eastAsia="仿宋_GB2312" w:cs="Times New Roman"/>
          <w:color w:val="000000" w:themeColor="text1"/>
          <w:kern w:val="2"/>
          <w:sz w:val="32"/>
          <w:szCs w:val="32"/>
          <w:lang w:val="en-US" w:eastAsia="zh-CN" w:bidi="ar-SA"/>
          <w14:textFill>
            <w14:solidFill>
              <w14:schemeClr w14:val="tx1"/>
            </w14:solidFill>
          </w14:textFill>
        </w:rPr>
        <w:t xml:space="preserve"> </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基金办对于申请单位的注册申请必要时采取实地审查的方式。申请单位应当积极配合基金办的实地审查工作。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黑体" w:hAnsi="黑体" w:eastAsia="黑体" w:cs="黑体"/>
          <w:color w:val="000000" w:themeColor="text1"/>
          <w:sz w:val="32"/>
          <w:szCs w:val="32"/>
          <w:highlight w:val="none"/>
          <w14:textFill>
            <w14:solidFill>
              <w14:schemeClr w14:val="tx1"/>
            </w14:solidFill>
          </w14:textFill>
        </w:rPr>
      </w:pPr>
      <w:r>
        <w:rPr>
          <w:rFonts w:hint="eastAsia" w:ascii="黑体" w:hAnsi="黑体" w:eastAsia="黑体" w:cs="黑体"/>
          <w:color w:val="000000" w:themeColor="text1"/>
          <w:sz w:val="32"/>
          <w:szCs w:val="32"/>
          <w:highlight w:val="none"/>
          <w:lang w:val="en-US" w:eastAsia="zh-CN"/>
          <w14:textFill>
            <w14:solidFill>
              <w14:schemeClr w14:val="tx1"/>
            </w14:solidFill>
          </w14:textFill>
        </w:rPr>
        <w:t>第三章  依托单位信息变更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 w:eastAsia="仿宋_GB2312"/>
          <w:color w:val="000000" w:themeColor="text1"/>
          <w:sz w:val="32"/>
          <w:szCs w:val="32"/>
          <w:highlight w:val="none"/>
          <w:lang w:val="en-US" w:eastAsia="zh-CN"/>
          <w14:textFill>
            <w14:solidFill>
              <w14:schemeClr w14:val="tx1"/>
            </w14:solidFill>
          </w14:textFill>
        </w:rPr>
      </w:pPr>
      <w:r>
        <w:rPr>
          <w:rFonts w:hint="eastAsia" w:ascii="仿宋_GB2312" w:hAnsi="仿宋" w:eastAsia="仿宋_GB2312" w:cs="Times New Roman"/>
          <w:b/>
          <w:bCs/>
          <w:color w:val="000000" w:themeColor="text1"/>
          <w:kern w:val="2"/>
          <w:sz w:val="32"/>
          <w:szCs w:val="32"/>
          <w:lang w:val="en-US" w:eastAsia="zh-CN" w:bidi="ar-SA"/>
          <w14:textFill>
            <w14:solidFill>
              <w14:schemeClr w14:val="tx1"/>
            </w14:solidFill>
          </w14:textFill>
        </w:rPr>
        <w:t>第十一条</w:t>
      </w:r>
      <w:r>
        <w:rPr>
          <w:rFonts w:hint="eastAsia" w:ascii="仿宋_GB2312" w:hAnsi="仿宋" w:eastAsia="仿宋_GB2312" w:cs="Times New Roman"/>
          <w:color w:val="000000" w:themeColor="text1"/>
          <w:kern w:val="2"/>
          <w:sz w:val="32"/>
          <w:szCs w:val="32"/>
          <w:lang w:val="en-US" w:eastAsia="zh-CN" w:bidi="ar-SA"/>
          <w14:textFill>
            <w14:solidFill>
              <w14:schemeClr w14:val="tx1"/>
            </w14:solidFill>
          </w14:textFill>
        </w:rPr>
        <w:t xml:space="preserve"> </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依托单位出现下列情形之一，应当自该情形发生之日起30日内向基金办提出变更申请：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olor w:val="000000" w:themeColor="text1"/>
          <w:sz w:val="32"/>
          <w:szCs w:val="32"/>
          <w:highlight w:val="none"/>
          <w:lang w:val="en-US" w:eastAsia="zh-CN"/>
          <w14:textFill>
            <w14:solidFill>
              <w14:schemeClr w14:val="tx1"/>
            </w14:solidFill>
          </w14:textFill>
        </w:rPr>
      </w:pPr>
      <w:r>
        <w:rPr>
          <w:rFonts w:hint="eastAsia" w:ascii="仿宋_GB2312" w:hAnsi="仿宋" w:eastAsia="仿宋_GB2312"/>
          <w:color w:val="000000" w:themeColor="text1"/>
          <w:sz w:val="32"/>
          <w:szCs w:val="32"/>
          <w:highlight w:val="none"/>
          <w:lang w:val="en-US" w:eastAsia="zh-CN"/>
          <w14:textFill>
            <w14:solidFill>
              <w14:schemeClr w14:val="tx1"/>
            </w14:solidFill>
          </w14:textFill>
        </w:rPr>
        <w:t>（一）依托单位名称、银行账号等基本信息变更；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olor w:val="000000" w:themeColor="text1"/>
          <w:sz w:val="32"/>
          <w:szCs w:val="32"/>
          <w:highlight w:val="none"/>
          <w:lang w:val="en-US" w:eastAsia="zh-CN"/>
          <w14:textFill>
            <w14:solidFill>
              <w14:schemeClr w14:val="tx1"/>
            </w14:solidFill>
          </w14:textFill>
        </w:rPr>
      </w:pPr>
      <w:r>
        <w:rPr>
          <w:rFonts w:hint="eastAsia" w:ascii="仿宋_GB2312" w:hAnsi="仿宋" w:eastAsia="仿宋_GB2312"/>
          <w:color w:val="000000" w:themeColor="text1"/>
          <w:sz w:val="32"/>
          <w:szCs w:val="32"/>
          <w:highlight w:val="none"/>
          <w:lang w:val="en-US" w:eastAsia="zh-CN"/>
          <w14:textFill>
            <w14:solidFill>
              <w14:schemeClr w14:val="tx1"/>
            </w14:solidFill>
          </w14:textFill>
        </w:rPr>
        <w:t>（二）法人类型发生变更；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olor w:val="000000" w:themeColor="text1"/>
          <w:sz w:val="32"/>
          <w:szCs w:val="32"/>
          <w:highlight w:val="none"/>
          <w:lang w:val="en-US" w:eastAsia="zh-CN"/>
          <w14:textFill>
            <w14:solidFill>
              <w14:schemeClr w14:val="tx1"/>
            </w14:solidFill>
          </w14:textFill>
        </w:rPr>
      </w:pPr>
      <w:r>
        <w:rPr>
          <w:rFonts w:hint="eastAsia" w:ascii="仿宋_GB2312" w:hAnsi="仿宋" w:eastAsia="仿宋_GB2312"/>
          <w:color w:val="000000" w:themeColor="text1"/>
          <w:sz w:val="32"/>
          <w:szCs w:val="32"/>
          <w:highlight w:val="none"/>
          <w:lang w:val="en-US" w:eastAsia="zh-CN"/>
          <w14:textFill>
            <w14:solidFill>
              <w14:schemeClr w14:val="tx1"/>
            </w14:solidFill>
          </w14:textFill>
        </w:rPr>
        <w:t>（三）因法人合并、分立等发生变更；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color w:val="000000" w:themeColor="text1"/>
          <w:sz w:val="32"/>
          <w:szCs w:val="32"/>
          <w:highlight w:val="none"/>
          <w:lang w:val="en-US" w:eastAsia="zh-CN"/>
          <w14:textFill>
            <w14:solidFill>
              <w14:schemeClr w14:val="tx1"/>
            </w14:solidFill>
          </w14:textFill>
        </w:rPr>
        <w:t>（四）其他需要变更的情形。</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第十二条</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 xml:space="preserve"> 依托单位申请信息变更，应当向基金办提交加盖单位公章的依托单位注册信息变更申请表（以下简称变更申请表）和相关材料的扫描件，但仅变更联系信息的，无需提交变更申请表。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因变更事项的不同，还应当提交其他相应附件材料：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（一）变更依托单位名称、机构类型、单位性质的，提交独立法人资格证书副本的复印件、上级管理机关批准文件的复印件；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（二）变更法定代表人姓名、依托单位住所、上级主管单位、隶属关系的，提交独立法人资格证书副本的复印件；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（三）变更开户单位名称、开户银行名称、账号的，提交开户许可证或基本存款账户信息的复印件。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变更提交的材料（含复印件）须加盖本单位公章。中国人民解放军、中国人民武装警察部队所属机构，变更前款第（一）、（二）项所列事项的，可不提交其中所列材料，但应在相应变更申请表上加盖师级以上上级管理机关公章确认。</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第十三条</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 xml:space="preserve"> 基金办对于依托单位提交的变更申请材料进行审查，变更申请材料有下列情形之一的，应当告知依托单位修改或补齐：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（一）申请材料不齐全的；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（二）变更申请表信息不准确的；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（三）申请材料含无效材料的；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（四）加盖公章不符合要求的。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基金办应当自收到符合要求的变更申请材料之日起5个工作日内完成审查并作出决定。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基金办决定予以变更的，应当及时通知申请单位；决定不予变更的，按照本办法第十四条规定处理。</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color w:val="000000" w:themeColor="text1"/>
          <w:sz w:val="32"/>
          <w:szCs w:val="32"/>
          <w:highlight w:val="none"/>
          <w:lang w:val="en-US" w:eastAsia="zh-CN"/>
          <w14:textFill>
            <w14:solidFill>
              <w14:schemeClr w14:val="tx1"/>
            </w14:solidFill>
          </w14:textFill>
        </w:rPr>
      </w:pPr>
      <w:r>
        <w:rPr>
          <w:rFonts w:hint="eastAsia" w:ascii="黑体" w:hAnsi="黑体" w:eastAsia="黑体" w:cs="黑体"/>
          <w:color w:val="000000" w:themeColor="text1"/>
          <w:sz w:val="32"/>
          <w:szCs w:val="32"/>
          <w:highlight w:val="none"/>
          <w:lang w:val="en-US" w:eastAsia="zh-CN"/>
          <w14:textFill>
            <w14:solidFill>
              <w14:schemeClr w14:val="tx1"/>
            </w14:solidFill>
          </w14:textFill>
        </w:rPr>
        <w:t>第四章  依托单位注销</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第十四条</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 xml:space="preserve"> 依托单位出现以下情况之一时，基金办原则上可以予以注销：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（一）依托单位提出注销申请的；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（二）不再符合本办法第五条规定的；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（三）基金办对其变更申请决定不予变更的；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（四）被基金办取消作为依托单位的资格的；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（五）注册之后连续3年未组织本单位科学技术人员申报市基金项目，且无基金在研项目的。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发生前款情形的，符合依托单位申请注册条件的，可以再次申请注册成为依托单位。</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第十五条</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 xml:space="preserve"> 依托单位申请注销，应当向基金办提交说明注销原因的公函；如因依托单位合并导致注销的，公函需加盖涉及的所有依托单位公章，还应当提交上级管理机关批准文件的复印件。</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color w:val="000000" w:themeColor="text1"/>
          <w:sz w:val="32"/>
          <w:szCs w:val="32"/>
          <w:highlight w:val="none"/>
          <w:lang w:val="en-US" w:eastAsia="zh-CN"/>
          <w14:textFill>
            <w14:solidFill>
              <w14:schemeClr w14:val="tx1"/>
            </w14:solidFill>
          </w14:textFill>
        </w:rPr>
      </w:pPr>
      <w:r>
        <w:rPr>
          <w:rFonts w:hint="eastAsia" w:ascii="黑体" w:hAnsi="黑体" w:eastAsia="黑体" w:cs="黑体"/>
          <w:color w:val="000000" w:themeColor="text1"/>
          <w:sz w:val="32"/>
          <w:szCs w:val="32"/>
          <w:highlight w:val="none"/>
          <w:lang w:val="en-US" w:eastAsia="zh-CN"/>
          <w14:textFill>
            <w14:solidFill>
              <w14:schemeClr w14:val="tx1"/>
            </w14:solidFill>
          </w14:textFill>
        </w:rPr>
        <w:t>第五章  监督与处罚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第十六条</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 xml:space="preserve"> 基金办接受社会单位或者个人对依托单位及其人员违反本办法规定行为的举报，并积极分类进行处理。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第十七条</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 xml:space="preserve"> 依托单位应就基金资助管理工作中的履行职责与科研诚信、科研伦理情况主动接受监督。接受监督评估的依托单位应认真履行相关责任，加强风险防控，强化管理人员、科研人员的责任意识、绩效意识、自律意识和科研诚信，积极配合监督评估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第十八条</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 xml:space="preserve"> 申请依托单位注册或者变更时有以下情形之一的，基金办应当予以警告：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（一）以隐瞒有关情况、提供虚假材料等不正当手段申请注册的；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（二）以隐瞒有关情况、提供虚假材料等不正当手段取得注册的；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（三）未在发生变更情形60日内向基金办提出书面变更申请的。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有前款第（一）项、第（二）项情形的，一经发现，不予注册或者取消其依托单位资格，并且2年内不得再次申请注册依托单位。</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color w:val="000000" w:themeColor="text1"/>
          <w:sz w:val="32"/>
          <w:szCs w:val="32"/>
          <w:highlight w:val="none"/>
          <w:lang w:val="en-US" w:eastAsia="zh-CN"/>
          <w14:textFill>
            <w14:solidFill>
              <w14:schemeClr w14:val="tx1"/>
            </w14:solidFill>
          </w14:textFill>
        </w:rPr>
      </w:pPr>
      <w:r>
        <w:rPr>
          <w:rFonts w:hint="eastAsia" w:ascii="黑体" w:hAnsi="黑体" w:eastAsia="黑体" w:cs="黑体"/>
          <w:color w:val="000000" w:themeColor="text1"/>
          <w:sz w:val="32"/>
          <w:szCs w:val="32"/>
          <w:highlight w:val="none"/>
          <w:lang w:val="en-US" w:eastAsia="zh-CN"/>
          <w14:textFill>
            <w14:solidFill>
              <w14:schemeClr w14:val="tx1"/>
            </w14:solidFill>
          </w14:textFill>
        </w:rPr>
        <w:t>第六章  附 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第十九条</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 xml:space="preserve"> 依托单位注册工作中涉及中国人民解放军、中国人民武装警察部队等所属从事科学研究的单位，参照本办法执行。</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第二十条</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 xml:space="preserve"> 本办法自2024年6月1日起施行，2023年4月24日发布的《北京市自然科学基金依托单位注册管理办法》同时废止。</w:t>
      </w: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 PAGE   \* MERGEFORMAT </w:instrText>
    </w:r>
    <w:r>
      <w:fldChar w:fldCharType="separate"/>
    </w:r>
    <w:r>
      <w:rPr>
        <w:lang w:val="zh-CN"/>
      </w:rPr>
      <w:t>5</w:t>
    </w:r>
    <w:r>
      <w:rPr>
        <w:lang w:val="zh-CN"/>
      </w:rPr>
      <w:fldChar w:fldCharType="end"/>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wNTM5NzYwMDRjMzkwZTVkZjY2ODkwMGIxNGU0OTUifQ=="/>
  </w:docVars>
  <w:rsids>
    <w:rsidRoot w:val="0005704E"/>
    <w:rsid w:val="00001BC1"/>
    <w:rsid w:val="00002E45"/>
    <w:rsid w:val="000075B3"/>
    <w:rsid w:val="00007B47"/>
    <w:rsid w:val="00010DCE"/>
    <w:rsid w:val="000122AF"/>
    <w:rsid w:val="00012330"/>
    <w:rsid w:val="0001347F"/>
    <w:rsid w:val="00015345"/>
    <w:rsid w:val="000167FC"/>
    <w:rsid w:val="00016E99"/>
    <w:rsid w:val="00017847"/>
    <w:rsid w:val="00020393"/>
    <w:rsid w:val="00020AFF"/>
    <w:rsid w:val="000228E4"/>
    <w:rsid w:val="00022B2B"/>
    <w:rsid w:val="00026492"/>
    <w:rsid w:val="000271E0"/>
    <w:rsid w:val="00030F8D"/>
    <w:rsid w:val="000333A1"/>
    <w:rsid w:val="000359B4"/>
    <w:rsid w:val="00037DB7"/>
    <w:rsid w:val="00040D76"/>
    <w:rsid w:val="000411DD"/>
    <w:rsid w:val="00046635"/>
    <w:rsid w:val="000503B6"/>
    <w:rsid w:val="00052E3A"/>
    <w:rsid w:val="00054510"/>
    <w:rsid w:val="000552D1"/>
    <w:rsid w:val="000559F8"/>
    <w:rsid w:val="0005704E"/>
    <w:rsid w:val="0006267D"/>
    <w:rsid w:val="00063471"/>
    <w:rsid w:val="000645F2"/>
    <w:rsid w:val="00065C77"/>
    <w:rsid w:val="00067D10"/>
    <w:rsid w:val="0007238D"/>
    <w:rsid w:val="00073419"/>
    <w:rsid w:val="000748F5"/>
    <w:rsid w:val="000818AC"/>
    <w:rsid w:val="000837E7"/>
    <w:rsid w:val="0008563F"/>
    <w:rsid w:val="00086238"/>
    <w:rsid w:val="000911B1"/>
    <w:rsid w:val="000936C3"/>
    <w:rsid w:val="00094081"/>
    <w:rsid w:val="000958B3"/>
    <w:rsid w:val="0009735B"/>
    <w:rsid w:val="000A0D20"/>
    <w:rsid w:val="000A1530"/>
    <w:rsid w:val="000A1D54"/>
    <w:rsid w:val="000A3C34"/>
    <w:rsid w:val="000A5D49"/>
    <w:rsid w:val="000A6179"/>
    <w:rsid w:val="000A668E"/>
    <w:rsid w:val="000A708D"/>
    <w:rsid w:val="000B0031"/>
    <w:rsid w:val="000B03C5"/>
    <w:rsid w:val="000B3D63"/>
    <w:rsid w:val="000B4498"/>
    <w:rsid w:val="000B4B94"/>
    <w:rsid w:val="000B7037"/>
    <w:rsid w:val="000D1F4E"/>
    <w:rsid w:val="000D2572"/>
    <w:rsid w:val="000D44EB"/>
    <w:rsid w:val="000D47A2"/>
    <w:rsid w:val="000E38E3"/>
    <w:rsid w:val="000E575D"/>
    <w:rsid w:val="000E5C25"/>
    <w:rsid w:val="000E6FC3"/>
    <w:rsid w:val="000F5C8A"/>
    <w:rsid w:val="000F680B"/>
    <w:rsid w:val="001009E1"/>
    <w:rsid w:val="00101DDA"/>
    <w:rsid w:val="00102427"/>
    <w:rsid w:val="0010286C"/>
    <w:rsid w:val="00104927"/>
    <w:rsid w:val="0010543D"/>
    <w:rsid w:val="001075C8"/>
    <w:rsid w:val="00110B00"/>
    <w:rsid w:val="00117F59"/>
    <w:rsid w:val="00120AEF"/>
    <w:rsid w:val="00130A06"/>
    <w:rsid w:val="0013195A"/>
    <w:rsid w:val="0013439F"/>
    <w:rsid w:val="00134CA8"/>
    <w:rsid w:val="00135DEB"/>
    <w:rsid w:val="00137436"/>
    <w:rsid w:val="001432F8"/>
    <w:rsid w:val="0014521D"/>
    <w:rsid w:val="0014688D"/>
    <w:rsid w:val="0015276A"/>
    <w:rsid w:val="0015770F"/>
    <w:rsid w:val="0016247D"/>
    <w:rsid w:val="00172BD8"/>
    <w:rsid w:val="0017413E"/>
    <w:rsid w:val="0018051D"/>
    <w:rsid w:val="00180CF1"/>
    <w:rsid w:val="001830C2"/>
    <w:rsid w:val="001846AB"/>
    <w:rsid w:val="0018776D"/>
    <w:rsid w:val="001904A9"/>
    <w:rsid w:val="00190B03"/>
    <w:rsid w:val="00190EC4"/>
    <w:rsid w:val="001925D3"/>
    <w:rsid w:val="00193A21"/>
    <w:rsid w:val="00195798"/>
    <w:rsid w:val="0019618C"/>
    <w:rsid w:val="001B222F"/>
    <w:rsid w:val="001B3879"/>
    <w:rsid w:val="001B63C8"/>
    <w:rsid w:val="001B78AC"/>
    <w:rsid w:val="001C162C"/>
    <w:rsid w:val="001C3E65"/>
    <w:rsid w:val="001C5174"/>
    <w:rsid w:val="001C69D0"/>
    <w:rsid w:val="001D32CB"/>
    <w:rsid w:val="001D7113"/>
    <w:rsid w:val="001D79F8"/>
    <w:rsid w:val="001E0798"/>
    <w:rsid w:val="001E4A78"/>
    <w:rsid w:val="001F0AD8"/>
    <w:rsid w:val="001F5E28"/>
    <w:rsid w:val="00200063"/>
    <w:rsid w:val="00205F05"/>
    <w:rsid w:val="00207451"/>
    <w:rsid w:val="00207D9E"/>
    <w:rsid w:val="002133B2"/>
    <w:rsid w:val="002140B2"/>
    <w:rsid w:val="00215263"/>
    <w:rsid w:val="0021623A"/>
    <w:rsid w:val="002171E1"/>
    <w:rsid w:val="00222D62"/>
    <w:rsid w:val="00223A30"/>
    <w:rsid w:val="002257FC"/>
    <w:rsid w:val="0022601E"/>
    <w:rsid w:val="002315AC"/>
    <w:rsid w:val="0023283B"/>
    <w:rsid w:val="00234E72"/>
    <w:rsid w:val="0023564F"/>
    <w:rsid w:val="002424E6"/>
    <w:rsid w:val="002460FD"/>
    <w:rsid w:val="00247414"/>
    <w:rsid w:val="0025152C"/>
    <w:rsid w:val="00251EB5"/>
    <w:rsid w:val="00253D5B"/>
    <w:rsid w:val="002569FD"/>
    <w:rsid w:val="00257F87"/>
    <w:rsid w:val="002668D8"/>
    <w:rsid w:val="002673C5"/>
    <w:rsid w:val="00270F1A"/>
    <w:rsid w:val="00271F36"/>
    <w:rsid w:val="00273E32"/>
    <w:rsid w:val="002756E8"/>
    <w:rsid w:val="002762FD"/>
    <w:rsid w:val="002764F9"/>
    <w:rsid w:val="0028278D"/>
    <w:rsid w:val="00283E1D"/>
    <w:rsid w:val="0029300C"/>
    <w:rsid w:val="002956FE"/>
    <w:rsid w:val="002A0F7F"/>
    <w:rsid w:val="002A3474"/>
    <w:rsid w:val="002A348D"/>
    <w:rsid w:val="002A5EF4"/>
    <w:rsid w:val="002B0CAE"/>
    <w:rsid w:val="002B167B"/>
    <w:rsid w:val="002B3703"/>
    <w:rsid w:val="002B38B5"/>
    <w:rsid w:val="002B3F9F"/>
    <w:rsid w:val="002B76DA"/>
    <w:rsid w:val="002C02E1"/>
    <w:rsid w:val="002C1B39"/>
    <w:rsid w:val="002C1F94"/>
    <w:rsid w:val="002C667D"/>
    <w:rsid w:val="002C760D"/>
    <w:rsid w:val="002D2BE1"/>
    <w:rsid w:val="002D3DFE"/>
    <w:rsid w:val="002D7BA8"/>
    <w:rsid w:val="002E04EA"/>
    <w:rsid w:val="002E113C"/>
    <w:rsid w:val="002F0347"/>
    <w:rsid w:val="002F28DF"/>
    <w:rsid w:val="002F465E"/>
    <w:rsid w:val="002F4850"/>
    <w:rsid w:val="00305BB9"/>
    <w:rsid w:val="003061AA"/>
    <w:rsid w:val="00311436"/>
    <w:rsid w:val="003126D1"/>
    <w:rsid w:val="0031697A"/>
    <w:rsid w:val="00324A98"/>
    <w:rsid w:val="00325799"/>
    <w:rsid w:val="00327A0C"/>
    <w:rsid w:val="00335975"/>
    <w:rsid w:val="00335A3F"/>
    <w:rsid w:val="003361E4"/>
    <w:rsid w:val="00337761"/>
    <w:rsid w:val="00340143"/>
    <w:rsid w:val="00343D49"/>
    <w:rsid w:val="0034542C"/>
    <w:rsid w:val="003467ED"/>
    <w:rsid w:val="00351BA2"/>
    <w:rsid w:val="003529D8"/>
    <w:rsid w:val="00353A8C"/>
    <w:rsid w:val="0035635F"/>
    <w:rsid w:val="00356DC2"/>
    <w:rsid w:val="00356FA6"/>
    <w:rsid w:val="0036345D"/>
    <w:rsid w:val="00363782"/>
    <w:rsid w:val="0036413E"/>
    <w:rsid w:val="003745AA"/>
    <w:rsid w:val="00375325"/>
    <w:rsid w:val="00380606"/>
    <w:rsid w:val="00384E7F"/>
    <w:rsid w:val="00396033"/>
    <w:rsid w:val="003A42F0"/>
    <w:rsid w:val="003B0D7D"/>
    <w:rsid w:val="003B11E1"/>
    <w:rsid w:val="003B5414"/>
    <w:rsid w:val="003B7459"/>
    <w:rsid w:val="003C0321"/>
    <w:rsid w:val="003C1BAA"/>
    <w:rsid w:val="003C2F65"/>
    <w:rsid w:val="003C4ABD"/>
    <w:rsid w:val="003C5001"/>
    <w:rsid w:val="003C51D4"/>
    <w:rsid w:val="003D1C0E"/>
    <w:rsid w:val="003D228A"/>
    <w:rsid w:val="003D2C42"/>
    <w:rsid w:val="003D6465"/>
    <w:rsid w:val="003E0824"/>
    <w:rsid w:val="003E1C43"/>
    <w:rsid w:val="003E401C"/>
    <w:rsid w:val="003E5751"/>
    <w:rsid w:val="003F1A7B"/>
    <w:rsid w:val="003F1FED"/>
    <w:rsid w:val="003F3FBA"/>
    <w:rsid w:val="003F66DD"/>
    <w:rsid w:val="00406085"/>
    <w:rsid w:val="004077FF"/>
    <w:rsid w:val="0040799B"/>
    <w:rsid w:val="00413FC6"/>
    <w:rsid w:val="00415910"/>
    <w:rsid w:val="00415F5C"/>
    <w:rsid w:val="004163BF"/>
    <w:rsid w:val="00416B8F"/>
    <w:rsid w:val="00421768"/>
    <w:rsid w:val="00421A8A"/>
    <w:rsid w:val="00426378"/>
    <w:rsid w:val="004303FB"/>
    <w:rsid w:val="00431A15"/>
    <w:rsid w:val="00432190"/>
    <w:rsid w:val="00433C27"/>
    <w:rsid w:val="004357F4"/>
    <w:rsid w:val="00445035"/>
    <w:rsid w:val="004450FE"/>
    <w:rsid w:val="00447C55"/>
    <w:rsid w:val="0045500E"/>
    <w:rsid w:val="00456F6C"/>
    <w:rsid w:val="004641D4"/>
    <w:rsid w:val="00467574"/>
    <w:rsid w:val="00471F7D"/>
    <w:rsid w:val="00474921"/>
    <w:rsid w:val="00475540"/>
    <w:rsid w:val="004771CC"/>
    <w:rsid w:val="00482D7F"/>
    <w:rsid w:val="0048440F"/>
    <w:rsid w:val="0049088A"/>
    <w:rsid w:val="00492572"/>
    <w:rsid w:val="00493CD7"/>
    <w:rsid w:val="004969F3"/>
    <w:rsid w:val="004A0CE3"/>
    <w:rsid w:val="004A0D2F"/>
    <w:rsid w:val="004A2554"/>
    <w:rsid w:val="004A4044"/>
    <w:rsid w:val="004A49A2"/>
    <w:rsid w:val="004A70DF"/>
    <w:rsid w:val="004A7608"/>
    <w:rsid w:val="004B4D62"/>
    <w:rsid w:val="004B4F58"/>
    <w:rsid w:val="004B6B27"/>
    <w:rsid w:val="004B6DA1"/>
    <w:rsid w:val="004C3AF6"/>
    <w:rsid w:val="004C76CC"/>
    <w:rsid w:val="004C7B1C"/>
    <w:rsid w:val="004D2A6E"/>
    <w:rsid w:val="004D6FA8"/>
    <w:rsid w:val="004E091A"/>
    <w:rsid w:val="004E246D"/>
    <w:rsid w:val="004E273C"/>
    <w:rsid w:val="004E55E6"/>
    <w:rsid w:val="004E6D8B"/>
    <w:rsid w:val="004E6F2E"/>
    <w:rsid w:val="004E71E6"/>
    <w:rsid w:val="004E7794"/>
    <w:rsid w:val="004F1D8D"/>
    <w:rsid w:val="004F357D"/>
    <w:rsid w:val="004F3CEE"/>
    <w:rsid w:val="004F43D9"/>
    <w:rsid w:val="004F74C5"/>
    <w:rsid w:val="00500AA5"/>
    <w:rsid w:val="00504AE5"/>
    <w:rsid w:val="00506A80"/>
    <w:rsid w:val="005078B4"/>
    <w:rsid w:val="00507B5A"/>
    <w:rsid w:val="00513D1E"/>
    <w:rsid w:val="00514ACF"/>
    <w:rsid w:val="00517AFF"/>
    <w:rsid w:val="00525E8F"/>
    <w:rsid w:val="00526490"/>
    <w:rsid w:val="00527B48"/>
    <w:rsid w:val="005301EB"/>
    <w:rsid w:val="0053287A"/>
    <w:rsid w:val="00533EDB"/>
    <w:rsid w:val="0053543E"/>
    <w:rsid w:val="00536424"/>
    <w:rsid w:val="0053717E"/>
    <w:rsid w:val="005419D0"/>
    <w:rsid w:val="005433F4"/>
    <w:rsid w:val="00543DB7"/>
    <w:rsid w:val="005458C7"/>
    <w:rsid w:val="005523B5"/>
    <w:rsid w:val="00556441"/>
    <w:rsid w:val="0055647D"/>
    <w:rsid w:val="0055683C"/>
    <w:rsid w:val="00561169"/>
    <w:rsid w:val="005622B5"/>
    <w:rsid w:val="0056467F"/>
    <w:rsid w:val="005648A6"/>
    <w:rsid w:val="00564B01"/>
    <w:rsid w:val="005666C2"/>
    <w:rsid w:val="00570275"/>
    <w:rsid w:val="0057160F"/>
    <w:rsid w:val="00575F8C"/>
    <w:rsid w:val="005778F8"/>
    <w:rsid w:val="00584422"/>
    <w:rsid w:val="00585CF2"/>
    <w:rsid w:val="005865FA"/>
    <w:rsid w:val="005912A5"/>
    <w:rsid w:val="0059317D"/>
    <w:rsid w:val="00594BD3"/>
    <w:rsid w:val="005A3936"/>
    <w:rsid w:val="005A61E5"/>
    <w:rsid w:val="005A7281"/>
    <w:rsid w:val="005B03BB"/>
    <w:rsid w:val="005B1B99"/>
    <w:rsid w:val="005B33F5"/>
    <w:rsid w:val="005B41C0"/>
    <w:rsid w:val="005B488A"/>
    <w:rsid w:val="005B50E4"/>
    <w:rsid w:val="005B525D"/>
    <w:rsid w:val="005B6A07"/>
    <w:rsid w:val="005B6DF9"/>
    <w:rsid w:val="005C5796"/>
    <w:rsid w:val="005C641A"/>
    <w:rsid w:val="005D44DE"/>
    <w:rsid w:val="005D4725"/>
    <w:rsid w:val="005D4A8A"/>
    <w:rsid w:val="005D587B"/>
    <w:rsid w:val="005E022A"/>
    <w:rsid w:val="005E0F3E"/>
    <w:rsid w:val="005E16C6"/>
    <w:rsid w:val="006008CE"/>
    <w:rsid w:val="00603587"/>
    <w:rsid w:val="0060516C"/>
    <w:rsid w:val="00605271"/>
    <w:rsid w:val="00605BDC"/>
    <w:rsid w:val="00614D34"/>
    <w:rsid w:val="00615113"/>
    <w:rsid w:val="00616F12"/>
    <w:rsid w:val="006179D9"/>
    <w:rsid w:val="006215EB"/>
    <w:rsid w:val="006237AC"/>
    <w:rsid w:val="0063361A"/>
    <w:rsid w:val="00633F06"/>
    <w:rsid w:val="00635F2E"/>
    <w:rsid w:val="00637D4A"/>
    <w:rsid w:val="0064337F"/>
    <w:rsid w:val="00643ACC"/>
    <w:rsid w:val="00643D70"/>
    <w:rsid w:val="00656296"/>
    <w:rsid w:val="006568AD"/>
    <w:rsid w:val="00661D62"/>
    <w:rsid w:val="00662227"/>
    <w:rsid w:val="00664D5D"/>
    <w:rsid w:val="0067029D"/>
    <w:rsid w:val="0067105C"/>
    <w:rsid w:val="00671714"/>
    <w:rsid w:val="00674D15"/>
    <w:rsid w:val="0067528C"/>
    <w:rsid w:val="006758E6"/>
    <w:rsid w:val="006771E0"/>
    <w:rsid w:val="00683495"/>
    <w:rsid w:val="00685513"/>
    <w:rsid w:val="00690F88"/>
    <w:rsid w:val="00692EC4"/>
    <w:rsid w:val="00693037"/>
    <w:rsid w:val="00693D11"/>
    <w:rsid w:val="006A63AC"/>
    <w:rsid w:val="006A7AF3"/>
    <w:rsid w:val="006B161B"/>
    <w:rsid w:val="006B5260"/>
    <w:rsid w:val="006C00BC"/>
    <w:rsid w:val="006C2536"/>
    <w:rsid w:val="006C2DC0"/>
    <w:rsid w:val="006C4237"/>
    <w:rsid w:val="006C457F"/>
    <w:rsid w:val="006C53F3"/>
    <w:rsid w:val="006D15FE"/>
    <w:rsid w:val="006D1BC9"/>
    <w:rsid w:val="006D4C1E"/>
    <w:rsid w:val="006D731E"/>
    <w:rsid w:val="006E3786"/>
    <w:rsid w:val="006E780D"/>
    <w:rsid w:val="006F335F"/>
    <w:rsid w:val="006F51D8"/>
    <w:rsid w:val="006F5C4D"/>
    <w:rsid w:val="007008FB"/>
    <w:rsid w:val="00705BC2"/>
    <w:rsid w:val="0070629C"/>
    <w:rsid w:val="00713D4B"/>
    <w:rsid w:val="00714E9F"/>
    <w:rsid w:val="0072449F"/>
    <w:rsid w:val="007319D4"/>
    <w:rsid w:val="007330D3"/>
    <w:rsid w:val="00734064"/>
    <w:rsid w:val="00734B0B"/>
    <w:rsid w:val="00734EF4"/>
    <w:rsid w:val="00740750"/>
    <w:rsid w:val="00740B05"/>
    <w:rsid w:val="007410DC"/>
    <w:rsid w:val="007427D7"/>
    <w:rsid w:val="00751241"/>
    <w:rsid w:val="007515F8"/>
    <w:rsid w:val="00751CE0"/>
    <w:rsid w:val="00762288"/>
    <w:rsid w:val="007632CD"/>
    <w:rsid w:val="00764DCE"/>
    <w:rsid w:val="0076589D"/>
    <w:rsid w:val="00767BF7"/>
    <w:rsid w:val="00771813"/>
    <w:rsid w:val="00774F25"/>
    <w:rsid w:val="00775B45"/>
    <w:rsid w:val="0077740D"/>
    <w:rsid w:val="00780004"/>
    <w:rsid w:val="00781C95"/>
    <w:rsid w:val="00783B4C"/>
    <w:rsid w:val="00786349"/>
    <w:rsid w:val="00790882"/>
    <w:rsid w:val="0079460D"/>
    <w:rsid w:val="00795808"/>
    <w:rsid w:val="00796807"/>
    <w:rsid w:val="0079739E"/>
    <w:rsid w:val="00797EA4"/>
    <w:rsid w:val="007A20A8"/>
    <w:rsid w:val="007A3B25"/>
    <w:rsid w:val="007A6279"/>
    <w:rsid w:val="007A78A4"/>
    <w:rsid w:val="007B3608"/>
    <w:rsid w:val="007C3231"/>
    <w:rsid w:val="007C4686"/>
    <w:rsid w:val="007C4C5F"/>
    <w:rsid w:val="007C74E4"/>
    <w:rsid w:val="007D3830"/>
    <w:rsid w:val="007D44C8"/>
    <w:rsid w:val="007D6A04"/>
    <w:rsid w:val="007E00E8"/>
    <w:rsid w:val="007E055C"/>
    <w:rsid w:val="007E24B4"/>
    <w:rsid w:val="007E2BF0"/>
    <w:rsid w:val="007E6B4A"/>
    <w:rsid w:val="007F135B"/>
    <w:rsid w:val="007F30DD"/>
    <w:rsid w:val="0080327F"/>
    <w:rsid w:val="0080418E"/>
    <w:rsid w:val="008102D1"/>
    <w:rsid w:val="0081608B"/>
    <w:rsid w:val="00823666"/>
    <w:rsid w:val="008248B4"/>
    <w:rsid w:val="00826CF7"/>
    <w:rsid w:val="00827520"/>
    <w:rsid w:val="00831C98"/>
    <w:rsid w:val="00852AE3"/>
    <w:rsid w:val="00856540"/>
    <w:rsid w:val="00857824"/>
    <w:rsid w:val="00857CC6"/>
    <w:rsid w:val="00867E17"/>
    <w:rsid w:val="00870F0F"/>
    <w:rsid w:val="008710C0"/>
    <w:rsid w:val="00871CE3"/>
    <w:rsid w:val="0087531E"/>
    <w:rsid w:val="0087632A"/>
    <w:rsid w:val="008775D9"/>
    <w:rsid w:val="00880CE8"/>
    <w:rsid w:val="008811FC"/>
    <w:rsid w:val="008870C2"/>
    <w:rsid w:val="0089078A"/>
    <w:rsid w:val="0089289B"/>
    <w:rsid w:val="00892EFB"/>
    <w:rsid w:val="0089468F"/>
    <w:rsid w:val="00895D32"/>
    <w:rsid w:val="008967BC"/>
    <w:rsid w:val="008A6C6A"/>
    <w:rsid w:val="008A7203"/>
    <w:rsid w:val="008B3F85"/>
    <w:rsid w:val="008B5745"/>
    <w:rsid w:val="008B61BD"/>
    <w:rsid w:val="008B7E69"/>
    <w:rsid w:val="008C02EC"/>
    <w:rsid w:val="008C2C00"/>
    <w:rsid w:val="008C3831"/>
    <w:rsid w:val="008C4521"/>
    <w:rsid w:val="008C71AB"/>
    <w:rsid w:val="008C7DBC"/>
    <w:rsid w:val="008D22AE"/>
    <w:rsid w:val="008D4253"/>
    <w:rsid w:val="008D7D50"/>
    <w:rsid w:val="008E20BB"/>
    <w:rsid w:val="008E44E3"/>
    <w:rsid w:val="008E70C0"/>
    <w:rsid w:val="008F0A47"/>
    <w:rsid w:val="008F2B35"/>
    <w:rsid w:val="008F647B"/>
    <w:rsid w:val="008F75D5"/>
    <w:rsid w:val="009008AD"/>
    <w:rsid w:val="009065D1"/>
    <w:rsid w:val="00911742"/>
    <w:rsid w:val="00920527"/>
    <w:rsid w:val="00921D42"/>
    <w:rsid w:val="009242A8"/>
    <w:rsid w:val="00930145"/>
    <w:rsid w:val="00930267"/>
    <w:rsid w:val="009302EE"/>
    <w:rsid w:val="00932BDD"/>
    <w:rsid w:val="00937362"/>
    <w:rsid w:val="009426E0"/>
    <w:rsid w:val="009446DC"/>
    <w:rsid w:val="009447CE"/>
    <w:rsid w:val="00947E4D"/>
    <w:rsid w:val="00951CB5"/>
    <w:rsid w:val="009528BA"/>
    <w:rsid w:val="009528D1"/>
    <w:rsid w:val="00953520"/>
    <w:rsid w:val="00955239"/>
    <w:rsid w:val="00956397"/>
    <w:rsid w:val="00961CC7"/>
    <w:rsid w:val="0096372B"/>
    <w:rsid w:val="00966216"/>
    <w:rsid w:val="009664F0"/>
    <w:rsid w:val="009723D4"/>
    <w:rsid w:val="00973B8E"/>
    <w:rsid w:val="00981247"/>
    <w:rsid w:val="0098713B"/>
    <w:rsid w:val="0099314A"/>
    <w:rsid w:val="009931F7"/>
    <w:rsid w:val="009937AF"/>
    <w:rsid w:val="00994E9F"/>
    <w:rsid w:val="009A3370"/>
    <w:rsid w:val="009A4521"/>
    <w:rsid w:val="009A5A87"/>
    <w:rsid w:val="009A674B"/>
    <w:rsid w:val="009B061C"/>
    <w:rsid w:val="009B266F"/>
    <w:rsid w:val="009B2B79"/>
    <w:rsid w:val="009B2D96"/>
    <w:rsid w:val="009B3B84"/>
    <w:rsid w:val="009B5486"/>
    <w:rsid w:val="009B67E2"/>
    <w:rsid w:val="009B691C"/>
    <w:rsid w:val="009B6B4A"/>
    <w:rsid w:val="009C341D"/>
    <w:rsid w:val="009D44B7"/>
    <w:rsid w:val="009D49D6"/>
    <w:rsid w:val="009E1CDA"/>
    <w:rsid w:val="009E7141"/>
    <w:rsid w:val="009F57F7"/>
    <w:rsid w:val="009F7A2A"/>
    <w:rsid w:val="00A02801"/>
    <w:rsid w:val="00A04735"/>
    <w:rsid w:val="00A0497E"/>
    <w:rsid w:val="00A06B9C"/>
    <w:rsid w:val="00A113E8"/>
    <w:rsid w:val="00A119AE"/>
    <w:rsid w:val="00A15441"/>
    <w:rsid w:val="00A1626F"/>
    <w:rsid w:val="00A211DA"/>
    <w:rsid w:val="00A24000"/>
    <w:rsid w:val="00A2497C"/>
    <w:rsid w:val="00A24F2E"/>
    <w:rsid w:val="00A25390"/>
    <w:rsid w:val="00A264C1"/>
    <w:rsid w:val="00A26C9E"/>
    <w:rsid w:val="00A27672"/>
    <w:rsid w:val="00A30A6F"/>
    <w:rsid w:val="00A31722"/>
    <w:rsid w:val="00A31A62"/>
    <w:rsid w:val="00A33133"/>
    <w:rsid w:val="00A34594"/>
    <w:rsid w:val="00A34B4B"/>
    <w:rsid w:val="00A35D59"/>
    <w:rsid w:val="00A40001"/>
    <w:rsid w:val="00A40DFA"/>
    <w:rsid w:val="00A426D8"/>
    <w:rsid w:val="00A45419"/>
    <w:rsid w:val="00A463FE"/>
    <w:rsid w:val="00A46FF9"/>
    <w:rsid w:val="00A47A29"/>
    <w:rsid w:val="00A50319"/>
    <w:rsid w:val="00A51053"/>
    <w:rsid w:val="00A518BA"/>
    <w:rsid w:val="00A51C8E"/>
    <w:rsid w:val="00A5273A"/>
    <w:rsid w:val="00A532B4"/>
    <w:rsid w:val="00A53FAC"/>
    <w:rsid w:val="00A5772C"/>
    <w:rsid w:val="00A6371E"/>
    <w:rsid w:val="00A63CD0"/>
    <w:rsid w:val="00A66AD2"/>
    <w:rsid w:val="00A66EB5"/>
    <w:rsid w:val="00A74A22"/>
    <w:rsid w:val="00A807A5"/>
    <w:rsid w:val="00A80E08"/>
    <w:rsid w:val="00A817F7"/>
    <w:rsid w:val="00A826D4"/>
    <w:rsid w:val="00A82D53"/>
    <w:rsid w:val="00A82E95"/>
    <w:rsid w:val="00A85998"/>
    <w:rsid w:val="00A86825"/>
    <w:rsid w:val="00A948E0"/>
    <w:rsid w:val="00A950E9"/>
    <w:rsid w:val="00A95F3A"/>
    <w:rsid w:val="00A96EE6"/>
    <w:rsid w:val="00AA01AD"/>
    <w:rsid w:val="00AA0C8C"/>
    <w:rsid w:val="00AA2FB4"/>
    <w:rsid w:val="00AA5181"/>
    <w:rsid w:val="00AA60C8"/>
    <w:rsid w:val="00AB2313"/>
    <w:rsid w:val="00AB3533"/>
    <w:rsid w:val="00AB37FC"/>
    <w:rsid w:val="00AB66F6"/>
    <w:rsid w:val="00AC0A43"/>
    <w:rsid w:val="00AC2654"/>
    <w:rsid w:val="00AC2E6B"/>
    <w:rsid w:val="00AC6438"/>
    <w:rsid w:val="00AC7187"/>
    <w:rsid w:val="00AD0065"/>
    <w:rsid w:val="00AD2745"/>
    <w:rsid w:val="00AD36F5"/>
    <w:rsid w:val="00AD6A1F"/>
    <w:rsid w:val="00AD775A"/>
    <w:rsid w:val="00AD7CC0"/>
    <w:rsid w:val="00AE07CD"/>
    <w:rsid w:val="00AE1B30"/>
    <w:rsid w:val="00AE3B83"/>
    <w:rsid w:val="00AE5584"/>
    <w:rsid w:val="00AE5E14"/>
    <w:rsid w:val="00AE6162"/>
    <w:rsid w:val="00AE6504"/>
    <w:rsid w:val="00AF00C1"/>
    <w:rsid w:val="00AF096D"/>
    <w:rsid w:val="00AF0AA9"/>
    <w:rsid w:val="00AF25A4"/>
    <w:rsid w:val="00AF2ABD"/>
    <w:rsid w:val="00AF4F82"/>
    <w:rsid w:val="00AF7AAA"/>
    <w:rsid w:val="00B00B13"/>
    <w:rsid w:val="00B00DD6"/>
    <w:rsid w:val="00B0265B"/>
    <w:rsid w:val="00B0283E"/>
    <w:rsid w:val="00B05618"/>
    <w:rsid w:val="00B067CA"/>
    <w:rsid w:val="00B07B83"/>
    <w:rsid w:val="00B131E9"/>
    <w:rsid w:val="00B13CE8"/>
    <w:rsid w:val="00B14922"/>
    <w:rsid w:val="00B16CE6"/>
    <w:rsid w:val="00B21EA7"/>
    <w:rsid w:val="00B232BD"/>
    <w:rsid w:val="00B24299"/>
    <w:rsid w:val="00B27DE3"/>
    <w:rsid w:val="00B327C4"/>
    <w:rsid w:val="00B33C31"/>
    <w:rsid w:val="00B416CF"/>
    <w:rsid w:val="00B44E96"/>
    <w:rsid w:val="00B45D2B"/>
    <w:rsid w:val="00B47EC5"/>
    <w:rsid w:val="00B50EBB"/>
    <w:rsid w:val="00B51680"/>
    <w:rsid w:val="00B51BA9"/>
    <w:rsid w:val="00B51FB5"/>
    <w:rsid w:val="00B52427"/>
    <w:rsid w:val="00B5386C"/>
    <w:rsid w:val="00B54B33"/>
    <w:rsid w:val="00B56144"/>
    <w:rsid w:val="00B567CA"/>
    <w:rsid w:val="00B56FD6"/>
    <w:rsid w:val="00B57064"/>
    <w:rsid w:val="00B610D2"/>
    <w:rsid w:val="00B61F46"/>
    <w:rsid w:val="00B663C2"/>
    <w:rsid w:val="00B6700E"/>
    <w:rsid w:val="00B67BB0"/>
    <w:rsid w:val="00B74924"/>
    <w:rsid w:val="00B80D17"/>
    <w:rsid w:val="00B81F51"/>
    <w:rsid w:val="00B84D93"/>
    <w:rsid w:val="00B8583E"/>
    <w:rsid w:val="00B86BA7"/>
    <w:rsid w:val="00B8760B"/>
    <w:rsid w:val="00B90ADA"/>
    <w:rsid w:val="00B931A7"/>
    <w:rsid w:val="00B93805"/>
    <w:rsid w:val="00B96995"/>
    <w:rsid w:val="00B976AC"/>
    <w:rsid w:val="00BA6236"/>
    <w:rsid w:val="00BA670F"/>
    <w:rsid w:val="00BB15F1"/>
    <w:rsid w:val="00BB2445"/>
    <w:rsid w:val="00BB4211"/>
    <w:rsid w:val="00BB452E"/>
    <w:rsid w:val="00BB5C24"/>
    <w:rsid w:val="00BB7668"/>
    <w:rsid w:val="00BC04A4"/>
    <w:rsid w:val="00BC3478"/>
    <w:rsid w:val="00BC4E68"/>
    <w:rsid w:val="00BE0D9E"/>
    <w:rsid w:val="00BE11A7"/>
    <w:rsid w:val="00BE1514"/>
    <w:rsid w:val="00BF0720"/>
    <w:rsid w:val="00BF229E"/>
    <w:rsid w:val="00BF2978"/>
    <w:rsid w:val="00BF4A0F"/>
    <w:rsid w:val="00BF4E56"/>
    <w:rsid w:val="00BF53E0"/>
    <w:rsid w:val="00BF65BD"/>
    <w:rsid w:val="00C02506"/>
    <w:rsid w:val="00C06D57"/>
    <w:rsid w:val="00C1262E"/>
    <w:rsid w:val="00C26D12"/>
    <w:rsid w:val="00C31565"/>
    <w:rsid w:val="00C32DEB"/>
    <w:rsid w:val="00C33DB5"/>
    <w:rsid w:val="00C37CEB"/>
    <w:rsid w:val="00C4101D"/>
    <w:rsid w:val="00C42BF2"/>
    <w:rsid w:val="00C46E94"/>
    <w:rsid w:val="00C47C9E"/>
    <w:rsid w:val="00C530F9"/>
    <w:rsid w:val="00C6215B"/>
    <w:rsid w:val="00C64E06"/>
    <w:rsid w:val="00C65022"/>
    <w:rsid w:val="00C65E86"/>
    <w:rsid w:val="00C670D3"/>
    <w:rsid w:val="00C713EF"/>
    <w:rsid w:val="00C747B2"/>
    <w:rsid w:val="00C75175"/>
    <w:rsid w:val="00C83513"/>
    <w:rsid w:val="00C8362A"/>
    <w:rsid w:val="00C83E3E"/>
    <w:rsid w:val="00C8446F"/>
    <w:rsid w:val="00C86EB2"/>
    <w:rsid w:val="00C90849"/>
    <w:rsid w:val="00C933F7"/>
    <w:rsid w:val="00C937DD"/>
    <w:rsid w:val="00C93952"/>
    <w:rsid w:val="00C94173"/>
    <w:rsid w:val="00C9705A"/>
    <w:rsid w:val="00CA1255"/>
    <w:rsid w:val="00CB1127"/>
    <w:rsid w:val="00CB4537"/>
    <w:rsid w:val="00CB7B65"/>
    <w:rsid w:val="00CC0863"/>
    <w:rsid w:val="00CC1068"/>
    <w:rsid w:val="00CC3261"/>
    <w:rsid w:val="00CC7934"/>
    <w:rsid w:val="00CD37DA"/>
    <w:rsid w:val="00CD40AA"/>
    <w:rsid w:val="00CE0C40"/>
    <w:rsid w:val="00CE10BC"/>
    <w:rsid w:val="00CE53A6"/>
    <w:rsid w:val="00CF3466"/>
    <w:rsid w:val="00CF7E58"/>
    <w:rsid w:val="00D016D5"/>
    <w:rsid w:val="00D04191"/>
    <w:rsid w:val="00D07540"/>
    <w:rsid w:val="00D10144"/>
    <w:rsid w:val="00D10DFC"/>
    <w:rsid w:val="00D135B0"/>
    <w:rsid w:val="00D14AE9"/>
    <w:rsid w:val="00D23A3C"/>
    <w:rsid w:val="00D2723C"/>
    <w:rsid w:val="00D2780F"/>
    <w:rsid w:val="00D27967"/>
    <w:rsid w:val="00D30D61"/>
    <w:rsid w:val="00D30E10"/>
    <w:rsid w:val="00D3202A"/>
    <w:rsid w:val="00D33C73"/>
    <w:rsid w:val="00D34185"/>
    <w:rsid w:val="00D3465B"/>
    <w:rsid w:val="00D37789"/>
    <w:rsid w:val="00D41358"/>
    <w:rsid w:val="00D44E35"/>
    <w:rsid w:val="00D501DF"/>
    <w:rsid w:val="00D5311B"/>
    <w:rsid w:val="00D54F45"/>
    <w:rsid w:val="00D555E9"/>
    <w:rsid w:val="00D562AF"/>
    <w:rsid w:val="00D56C4A"/>
    <w:rsid w:val="00D578E2"/>
    <w:rsid w:val="00D629AA"/>
    <w:rsid w:val="00D6759D"/>
    <w:rsid w:val="00D67FA3"/>
    <w:rsid w:val="00D711E8"/>
    <w:rsid w:val="00D716BB"/>
    <w:rsid w:val="00D743B9"/>
    <w:rsid w:val="00D75F02"/>
    <w:rsid w:val="00D76203"/>
    <w:rsid w:val="00D7758D"/>
    <w:rsid w:val="00D801AD"/>
    <w:rsid w:val="00D8058C"/>
    <w:rsid w:val="00D80D8D"/>
    <w:rsid w:val="00D81237"/>
    <w:rsid w:val="00D81445"/>
    <w:rsid w:val="00D81DCF"/>
    <w:rsid w:val="00D8215C"/>
    <w:rsid w:val="00D83C79"/>
    <w:rsid w:val="00D843F1"/>
    <w:rsid w:val="00D84A87"/>
    <w:rsid w:val="00D85B5E"/>
    <w:rsid w:val="00D938E4"/>
    <w:rsid w:val="00D94F33"/>
    <w:rsid w:val="00D951D3"/>
    <w:rsid w:val="00D9528B"/>
    <w:rsid w:val="00D95F6B"/>
    <w:rsid w:val="00D965F9"/>
    <w:rsid w:val="00D97067"/>
    <w:rsid w:val="00D97C05"/>
    <w:rsid w:val="00DA2CFD"/>
    <w:rsid w:val="00DA3A2C"/>
    <w:rsid w:val="00DB4F68"/>
    <w:rsid w:val="00DB5563"/>
    <w:rsid w:val="00DB718D"/>
    <w:rsid w:val="00DC0F2B"/>
    <w:rsid w:val="00DC319D"/>
    <w:rsid w:val="00DC3E6A"/>
    <w:rsid w:val="00DC3F94"/>
    <w:rsid w:val="00DC534B"/>
    <w:rsid w:val="00DC5E21"/>
    <w:rsid w:val="00DC644D"/>
    <w:rsid w:val="00DD0AEE"/>
    <w:rsid w:val="00DD45EE"/>
    <w:rsid w:val="00DD599A"/>
    <w:rsid w:val="00DD7CEB"/>
    <w:rsid w:val="00DD7F33"/>
    <w:rsid w:val="00DE3845"/>
    <w:rsid w:val="00DE3BEE"/>
    <w:rsid w:val="00DE537B"/>
    <w:rsid w:val="00DF0308"/>
    <w:rsid w:val="00DF35D5"/>
    <w:rsid w:val="00DF71BE"/>
    <w:rsid w:val="00DF7217"/>
    <w:rsid w:val="00DF72E1"/>
    <w:rsid w:val="00E01DEA"/>
    <w:rsid w:val="00E0305B"/>
    <w:rsid w:val="00E07EBC"/>
    <w:rsid w:val="00E1148E"/>
    <w:rsid w:val="00E1235B"/>
    <w:rsid w:val="00E134CF"/>
    <w:rsid w:val="00E15A6D"/>
    <w:rsid w:val="00E15C1B"/>
    <w:rsid w:val="00E16583"/>
    <w:rsid w:val="00E1779F"/>
    <w:rsid w:val="00E23900"/>
    <w:rsid w:val="00E24E89"/>
    <w:rsid w:val="00E27530"/>
    <w:rsid w:val="00E302F9"/>
    <w:rsid w:val="00E312E9"/>
    <w:rsid w:val="00E31534"/>
    <w:rsid w:val="00E365DE"/>
    <w:rsid w:val="00E41A59"/>
    <w:rsid w:val="00E4395B"/>
    <w:rsid w:val="00E56B46"/>
    <w:rsid w:val="00E5797F"/>
    <w:rsid w:val="00E60247"/>
    <w:rsid w:val="00E6182F"/>
    <w:rsid w:val="00E62B4B"/>
    <w:rsid w:val="00E63CD4"/>
    <w:rsid w:val="00E662FA"/>
    <w:rsid w:val="00E70571"/>
    <w:rsid w:val="00E709BB"/>
    <w:rsid w:val="00E714FC"/>
    <w:rsid w:val="00E73D5D"/>
    <w:rsid w:val="00E74823"/>
    <w:rsid w:val="00E74DB6"/>
    <w:rsid w:val="00E74FA3"/>
    <w:rsid w:val="00E82065"/>
    <w:rsid w:val="00E822EF"/>
    <w:rsid w:val="00E823AC"/>
    <w:rsid w:val="00E84BC8"/>
    <w:rsid w:val="00E84CE2"/>
    <w:rsid w:val="00E90A0B"/>
    <w:rsid w:val="00E96CBC"/>
    <w:rsid w:val="00E96F8E"/>
    <w:rsid w:val="00EB1378"/>
    <w:rsid w:val="00EB2AB8"/>
    <w:rsid w:val="00EB3840"/>
    <w:rsid w:val="00EB5D8D"/>
    <w:rsid w:val="00EB69AA"/>
    <w:rsid w:val="00EC0801"/>
    <w:rsid w:val="00EC1CA1"/>
    <w:rsid w:val="00EC6BFD"/>
    <w:rsid w:val="00ED20CC"/>
    <w:rsid w:val="00ED3D6B"/>
    <w:rsid w:val="00EE1246"/>
    <w:rsid w:val="00EE3464"/>
    <w:rsid w:val="00EE3A1B"/>
    <w:rsid w:val="00EF08EA"/>
    <w:rsid w:val="00EF247F"/>
    <w:rsid w:val="00EF5D9B"/>
    <w:rsid w:val="00EF7AF9"/>
    <w:rsid w:val="00F01A2F"/>
    <w:rsid w:val="00F05160"/>
    <w:rsid w:val="00F0550B"/>
    <w:rsid w:val="00F111C3"/>
    <w:rsid w:val="00F11868"/>
    <w:rsid w:val="00F131F0"/>
    <w:rsid w:val="00F13E4E"/>
    <w:rsid w:val="00F177E2"/>
    <w:rsid w:val="00F2071E"/>
    <w:rsid w:val="00F21901"/>
    <w:rsid w:val="00F24582"/>
    <w:rsid w:val="00F25C7D"/>
    <w:rsid w:val="00F25EE6"/>
    <w:rsid w:val="00F26DD7"/>
    <w:rsid w:val="00F305B8"/>
    <w:rsid w:val="00F32535"/>
    <w:rsid w:val="00F3415D"/>
    <w:rsid w:val="00F41144"/>
    <w:rsid w:val="00F4465A"/>
    <w:rsid w:val="00F57A05"/>
    <w:rsid w:val="00F61199"/>
    <w:rsid w:val="00F61A36"/>
    <w:rsid w:val="00F634C6"/>
    <w:rsid w:val="00F63BD7"/>
    <w:rsid w:val="00F658AB"/>
    <w:rsid w:val="00F66A83"/>
    <w:rsid w:val="00F71C81"/>
    <w:rsid w:val="00F77CBE"/>
    <w:rsid w:val="00F8245D"/>
    <w:rsid w:val="00F82BF0"/>
    <w:rsid w:val="00F82C05"/>
    <w:rsid w:val="00F863BD"/>
    <w:rsid w:val="00F864B0"/>
    <w:rsid w:val="00F86FFE"/>
    <w:rsid w:val="00F904FC"/>
    <w:rsid w:val="00F91906"/>
    <w:rsid w:val="00F92036"/>
    <w:rsid w:val="00F967DD"/>
    <w:rsid w:val="00F96F36"/>
    <w:rsid w:val="00FA51D3"/>
    <w:rsid w:val="00FA5F7B"/>
    <w:rsid w:val="00FA6895"/>
    <w:rsid w:val="00FB08C3"/>
    <w:rsid w:val="00FB602D"/>
    <w:rsid w:val="00FB6945"/>
    <w:rsid w:val="00FC0387"/>
    <w:rsid w:val="00FC0F28"/>
    <w:rsid w:val="00FC2A63"/>
    <w:rsid w:val="00FC3816"/>
    <w:rsid w:val="00FC5EC2"/>
    <w:rsid w:val="00FD1013"/>
    <w:rsid w:val="00FD23FF"/>
    <w:rsid w:val="00FD2933"/>
    <w:rsid w:val="00FD7406"/>
    <w:rsid w:val="00FE3377"/>
    <w:rsid w:val="00FE3619"/>
    <w:rsid w:val="00FE6D82"/>
    <w:rsid w:val="00FF024B"/>
    <w:rsid w:val="00FF186E"/>
    <w:rsid w:val="00FF3631"/>
    <w:rsid w:val="00FF6531"/>
    <w:rsid w:val="00FF734A"/>
    <w:rsid w:val="0170404F"/>
    <w:rsid w:val="01DE1504"/>
    <w:rsid w:val="0254388D"/>
    <w:rsid w:val="02F623C8"/>
    <w:rsid w:val="045F5A0A"/>
    <w:rsid w:val="094D13B6"/>
    <w:rsid w:val="094E127B"/>
    <w:rsid w:val="0B894684"/>
    <w:rsid w:val="0C634575"/>
    <w:rsid w:val="0DED0664"/>
    <w:rsid w:val="0E821F40"/>
    <w:rsid w:val="0EC23BAA"/>
    <w:rsid w:val="0EE606A5"/>
    <w:rsid w:val="0FCE1048"/>
    <w:rsid w:val="0FEB521C"/>
    <w:rsid w:val="10FC3EA5"/>
    <w:rsid w:val="112246F8"/>
    <w:rsid w:val="12903D37"/>
    <w:rsid w:val="153E0C8F"/>
    <w:rsid w:val="15680A08"/>
    <w:rsid w:val="16E579DC"/>
    <w:rsid w:val="1740235E"/>
    <w:rsid w:val="17430E24"/>
    <w:rsid w:val="18192C65"/>
    <w:rsid w:val="18A1312E"/>
    <w:rsid w:val="1E084A7F"/>
    <w:rsid w:val="28137791"/>
    <w:rsid w:val="28835366"/>
    <w:rsid w:val="2AA50D11"/>
    <w:rsid w:val="2AB729DE"/>
    <w:rsid w:val="2CAF084E"/>
    <w:rsid w:val="2D6F7B54"/>
    <w:rsid w:val="2D954F70"/>
    <w:rsid w:val="2D9C6688"/>
    <w:rsid w:val="2DCF2773"/>
    <w:rsid w:val="2E454A5E"/>
    <w:rsid w:val="2EAD33D2"/>
    <w:rsid w:val="2EFA733D"/>
    <w:rsid w:val="309537C1"/>
    <w:rsid w:val="312762C0"/>
    <w:rsid w:val="31684FF3"/>
    <w:rsid w:val="31BC6A6A"/>
    <w:rsid w:val="33223266"/>
    <w:rsid w:val="33470D8E"/>
    <w:rsid w:val="338B1780"/>
    <w:rsid w:val="33D157DE"/>
    <w:rsid w:val="340915A8"/>
    <w:rsid w:val="34126931"/>
    <w:rsid w:val="34A92A70"/>
    <w:rsid w:val="36AC4FA0"/>
    <w:rsid w:val="36EE377E"/>
    <w:rsid w:val="38D62A1C"/>
    <w:rsid w:val="393D42C5"/>
    <w:rsid w:val="3E3012BE"/>
    <w:rsid w:val="3F9E5E74"/>
    <w:rsid w:val="40046CFC"/>
    <w:rsid w:val="400D30FB"/>
    <w:rsid w:val="40680EAE"/>
    <w:rsid w:val="41431BE3"/>
    <w:rsid w:val="4318770F"/>
    <w:rsid w:val="438B245B"/>
    <w:rsid w:val="439B2A45"/>
    <w:rsid w:val="44EA104C"/>
    <w:rsid w:val="457B3300"/>
    <w:rsid w:val="45AF6B23"/>
    <w:rsid w:val="463E46CE"/>
    <w:rsid w:val="47432121"/>
    <w:rsid w:val="48BB11F8"/>
    <w:rsid w:val="4A8B6DDE"/>
    <w:rsid w:val="4A8E41C9"/>
    <w:rsid w:val="4B0537D4"/>
    <w:rsid w:val="4BAE538D"/>
    <w:rsid w:val="4BBE18DA"/>
    <w:rsid w:val="4BD47543"/>
    <w:rsid w:val="4DA41DE2"/>
    <w:rsid w:val="50076B6A"/>
    <w:rsid w:val="516F6B28"/>
    <w:rsid w:val="51FF7AB0"/>
    <w:rsid w:val="52E43B04"/>
    <w:rsid w:val="54E80950"/>
    <w:rsid w:val="54F43681"/>
    <w:rsid w:val="56E52612"/>
    <w:rsid w:val="57007C70"/>
    <w:rsid w:val="577B5CAB"/>
    <w:rsid w:val="5B1A2550"/>
    <w:rsid w:val="5B520803"/>
    <w:rsid w:val="5BCF72C8"/>
    <w:rsid w:val="5FC74DF3"/>
    <w:rsid w:val="5FF57817"/>
    <w:rsid w:val="601B3C7C"/>
    <w:rsid w:val="62524D1B"/>
    <w:rsid w:val="62B37DB5"/>
    <w:rsid w:val="65EE6029"/>
    <w:rsid w:val="665506D5"/>
    <w:rsid w:val="666A5C1E"/>
    <w:rsid w:val="667620F3"/>
    <w:rsid w:val="66DB514B"/>
    <w:rsid w:val="67693105"/>
    <w:rsid w:val="6A2E4C32"/>
    <w:rsid w:val="6BB13D50"/>
    <w:rsid w:val="6C234061"/>
    <w:rsid w:val="70B07AC0"/>
    <w:rsid w:val="713E64E2"/>
    <w:rsid w:val="728F25F9"/>
    <w:rsid w:val="74A837A2"/>
    <w:rsid w:val="761E19B5"/>
    <w:rsid w:val="76BC6029"/>
    <w:rsid w:val="77D91EEC"/>
    <w:rsid w:val="7D8F646F"/>
    <w:rsid w:val="7F2F1CB8"/>
    <w:rsid w:val="7FCF5BE9"/>
    <w:rsid w:val="7FED2D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uiPriority="99" w:name="page number"/>
    <w:lsdException w:qFormat="1"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2"/>
      <w:lang w:val="en-US" w:eastAsia="zh-CN" w:bidi="ar-SA"/>
    </w:rPr>
  </w:style>
  <w:style w:type="character" w:default="1" w:styleId="14">
    <w:name w:val="Default Paragraph Font"/>
    <w:autoRedefine/>
    <w:semiHidden/>
    <w:unhideWhenUsed/>
    <w:qFormat/>
    <w:uiPriority w:val="1"/>
  </w:style>
  <w:style w:type="table" w:default="1" w:styleId="12">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autoRedefine/>
    <w:qFormat/>
    <w:uiPriority w:val="0"/>
    <w:pPr>
      <w:spacing w:after="120"/>
    </w:pPr>
    <w:rPr>
      <w:szCs w:val="24"/>
    </w:rPr>
  </w:style>
  <w:style w:type="paragraph" w:styleId="3">
    <w:name w:val="Document Map"/>
    <w:basedOn w:val="1"/>
    <w:autoRedefine/>
    <w:semiHidden/>
    <w:qFormat/>
    <w:uiPriority w:val="0"/>
    <w:pPr>
      <w:shd w:val="clear" w:color="auto" w:fill="000080"/>
    </w:pPr>
  </w:style>
  <w:style w:type="paragraph" w:styleId="4">
    <w:name w:val="annotation text"/>
    <w:basedOn w:val="1"/>
    <w:semiHidden/>
    <w:qFormat/>
    <w:uiPriority w:val="0"/>
    <w:pPr>
      <w:jc w:val="left"/>
    </w:pPr>
  </w:style>
  <w:style w:type="paragraph" w:styleId="5">
    <w:name w:val="Date"/>
    <w:basedOn w:val="1"/>
    <w:next w:val="1"/>
    <w:link w:val="22"/>
    <w:autoRedefine/>
    <w:semiHidden/>
    <w:unhideWhenUsed/>
    <w:qFormat/>
    <w:uiPriority w:val="99"/>
    <w:pPr>
      <w:ind w:left="100" w:leftChars="2500"/>
    </w:pPr>
  </w:style>
  <w:style w:type="paragraph" w:styleId="6">
    <w:name w:val="endnote text"/>
    <w:basedOn w:val="1"/>
    <w:link w:val="23"/>
    <w:autoRedefine/>
    <w:semiHidden/>
    <w:unhideWhenUsed/>
    <w:qFormat/>
    <w:uiPriority w:val="99"/>
    <w:pPr>
      <w:snapToGrid w:val="0"/>
      <w:jc w:val="left"/>
    </w:pPr>
  </w:style>
  <w:style w:type="paragraph" w:styleId="7">
    <w:name w:val="Balloon Text"/>
    <w:basedOn w:val="1"/>
    <w:autoRedefine/>
    <w:semiHidden/>
    <w:qFormat/>
    <w:uiPriority w:val="0"/>
    <w:rPr>
      <w:sz w:val="18"/>
      <w:szCs w:val="18"/>
    </w:rPr>
  </w:style>
  <w:style w:type="paragraph" w:styleId="8">
    <w:name w:val="footer"/>
    <w:basedOn w:val="1"/>
    <w:link w:val="19"/>
    <w:autoRedefine/>
    <w:unhideWhenUsed/>
    <w:qFormat/>
    <w:uiPriority w:val="99"/>
    <w:pPr>
      <w:tabs>
        <w:tab w:val="center" w:pos="4153"/>
        <w:tab w:val="right" w:pos="8306"/>
      </w:tabs>
      <w:snapToGrid w:val="0"/>
      <w:jc w:val="left"/>
    </w:pPr>
    <w:rPr>
      <w:kern w:val="0"/>
      <w:sz w:val="18"/>
      <w:szCs w:val="18"/>
    </w:rPr>
  </w:style>
  <w:style w:type="paragraph" w:styleId="9">
    <w:name w:val="header"/>
    <w:basedOn w:val="1"/>
    <w:link w:val="18"/>
    <w:autoRedefine/>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10">
    <w:name w:val="Normal (Web)"/>
    <w:basedOn w:val="1"/>
    <w:autoRedefine/>
    <w:qFormat/>
    <w:uiPriority w:val="99"/>
    <w:pPr>
      <w:widowControl/>
      <w:spacing w:line="384" w:lineRule="auto"/>
      <w:jc w:val="left"/>
    </w:pPr>
    <w:rPr>
      <w:rFonts w:ascii="宋体" w:hAnsi="宋体" w:cs="宋体"/>
      <w:color w:val="333333"/>
      <w:kern w:val="0"/>
      <w:sz w:val="20"/>
      <w:szCs w:val="20"/>
    </w:rPr>
  </w:style>
  <w:style w:type="paragraph" w:styleId="11">
    <w:name w:val="annotation subject"/>
    <w:basedOn w:val="4"/>
    <w:next w:val="4"/>
    <w:autoRedefine/>
    <w:semiHidden/>
    <w:qFormat/>
    <w:uiPriority w:val="0"/>
    <w:rPr>
      <w:b/>
      <w:bCs/>
    </w:rPr>
  </w:style>
  <w:style w:type="table" w:styleId="13">
    <w:name w:val="Table Grid"/>
    <w:basedOn w:val="12"/>
    <w:autoRedefine/>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5">
    <w:name w:val="endnote reference"/>
    <w:autoRedefine/>
    <w:semiHidden/>
    <w:unhideWhenUsed/>
    <w:qFormat/>
    <w:uiPriority w:val="99"/>
    <w:rPr>
      <w:vertAlign w:val="superscript"/>
    </w:rPr>
  </w:style>
  <w:style w:type="character" w:styleId="16">
    <w:name w:val="Hyperlink"/>
    <w:autoRedefine/>
    <w:qFormat/>
    <w:uiPriority w:val="0"/>
    <w:rPr>
      <w:color w:val="0000FF"/>
      <w:u w:val="single"/>
    </w:rPr>
  </w:style>
  <w:style w:type="character" w:styleId="17">
    <w:name w:val="annotation reference"/>
    <w:autoRedefine/>
    <w:semiHidden/>
    <w:qFormat/>
    <w:uiPriority w:val="0"/>
    <w:rPr>
      <w:sz w:val="21"/>
      <w:szCs w:val="21"/>
    </w:rPr>
  </w:style>
  <w:style w:type="character" w:customStyle="1" w:styleId="18">
    <w:name w:val="页眉 Char"/>
    <w:link w:val="9"/>
    <w:autoRedefine/>
    <w:qFormat/>
    <w:uiPriority w:val="99"/>
    <w:rPr>
      <w:sz w:val="18"/>
      <w:szCs w:val="18"/>
    </w:rPr>
  </w:style>
  <w:style w:type="character" w:customStyle="1" w:styleId="19">
    <w:name w:val="页脚 Char"/>
    <w:link w:val="8"/>
    <w:autoRedefine/>
    <w:qFormat/>
    <w:uiPriority w:val="99"/>
    <w:rPr>
      <w:sz w:val="18"/>
      <w:szCs w:val="18"/>
    </w:rPr>
  </w:style>
  <w:style w:type="paragraph" w:customStyle="1" w:styleId="20">
    <w:name w:val="默认段落字体 Para Char Char Char Char Char Char Char"/>
    <w:basedOn w:val="3"/>
    <w:autoRedefine/>
    <w:qFormat/>
    <w:uiPriority w:val="0"/>
    <w:pPr>
      <w:adjustRightInd w:val="0"/>
      <w:spacing w:line="436" w:lineRule="exact"/>
      <w:ind w:left="357"/>
      <w:jc w:val="left"/>
      <w:outlineLvl w:val="3"/>
    </w:pPr>
    <w:rPr>
      <w:rFonts w:ascii="Tahoma" w:hAnsi="Tahoma"/>
      <w:b/>
      <w:sz w:val="24"/>
      <w:szCs w:val="24"/>
    </w:rPr>
  </w:style>
  <w:style w:type="character" w:customStyle="1" w:styleId="21">
    <w:name w:val="apple-style-span"/>
    <w:basedOn w:val="14"/>
    <w:autoRedefine/>
    <w:qFormat/>
    <w:uiPriority w:val="0"/>
  </w:style>
  <w:style w:type="character" w:customStyle="1" w:styleId="22">
    <w:name w:val="日期 Char"/>
    <w:link w:val="5"/>
    <w:autoRedefine/>
    <w:semiHidden/>
    <w:qFormat/>
    <w:uiPriority w:val="99"/>
    <w:rPr>
      <w:kern w:val="2"/>
      <w:sz w:val="21"/>
      <w:szCs w:val="22"/>
    </w:rPr>
  </w:style>
  <w:style w:type="character" w:customStyle="1" w:styleId="23">
    <w:name w:val="尾注文本 Char"/>
    <w:link w:val="6"/>
    <w:autoRedefine/>
    <w:semiHidden/>
    <w:qFormat/>
    <w:uiPriority w:val="99"/>
    <w:rPr>
      <w:kern w:val="2"/>
      <w:sz w:val="21"/>
      <w:szCs w:val="22"/>
    </w:rPr>
  </w:style>
  <w:style w:type="paragraph" w:styleId="24">
    <w:name w:val="List Paragraph"/>
    <w:basedOn w:val="1"/>
    <w:autoRedefine/>
    <w:qFormat/>
    <w:uiPriority w:val="34"/>
    <w:pPr>
      <w:ind w:firstLine="420" w:firstLineChars="200"/>
    </w:pPr>
  </w:style>
  <w:style w:type="paragraph" w:customStyle="1" w:styleId="25">
    <w:name w:val="1正文"/>
    <w:basedOn w:val="1"/>
    <w:autoRedefine/>
    <w:qFormat/>
    <w:uiPriority w:val="0"/>
    <w:pPr>
      <w:ind w:firstLine="200"/>
    </w:pPr>
    <w:rPr>
      <w:rFonts w:ascii="宋体" w:eastAsia="宋体"/>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BF4E8F-A12B-42E1-8AC4-D0A66D5A8685}">
  <ds:schemaRefs/>
</ds:datastoreItem>
</file>

<file path=docProps/app.xml><?xml version="1.0" encoding="utf-8"?>
<Properties xmlns="http://schemas.openxmlformats.org/officeDocument/2006/extended-properties" xmlns:vt="http://schemas.openxmlformats.org/officeDocument/2006/docPropsVTypes">
  <Template>Normal</Template>
  <Company>番茄花园</Company>
  <Pages>7</Pages>
  <Words>3024</Words>
  <Characters>3035</Characters>
  <Lines>13</Lines>
  <Paragraphs>3</Paragraphs>
  <TotalTime>0</TotalTime>
  <ScaleCrop>false</ScaleCrop>
  <LinksUpToDate>false</LinksUpToDate>
  <CharactersWithSpaces>3070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2019-05-08T02:15:00Z</dcterms:created>
  <dc:creator>番茄花园</dc:creator>
  <cp:lastModifiedBy>Millie</cp:lastModifiedBy>
  <cp:lastPrinted>2020-05-21T06:17:00Z</cp:lastPrinted>
  <dcterms:modified xsi:type="dcterms:W3CDTF">2024-05-29T09:07:55Z</dcterms:modified>
  <dc:title>关于2011年度北京市自然科学基金项目申请的通知</dc:title>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4633561F759A4DC09DAF4EB529548CF1_13</vt:lpwstr>
  </property>
</Properties>
</file>