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leftChars="0" w:firstLine="0" w:firstLineChars="0"/>
        <w:jc w:val="both"/>
        <w:rPr>
          <w:rFonts w:hint="eastAsia" w:ascii="CESI黑体-GB13000" w:hAnsi="CESI黑体-GB13000" w:eastAsia="CESI黑体-GB13000" w:cs="CESI黑体-GB13000"/>
          <w:sz w:val="32"/>
          <w:szCs w:val="32"/>
          <w:lang w:val="en-US" w:eastAsia="zh-CN"/>
        </w:rPr>
      </w:pPr>
      <w:bookmarkStart w:id="0" w:name="_Hlk158106680"/>
      <w:r>
        <w:rPr>
          <w:rFonts w:hint="eastAsia" w:ascii="CESI黑体-GB13000" w:hAnsi="CESI黑体-GB13000" w:eastAsia="CESI黑体-GB13000" w:cs="CESI黑体-GB13000"/>
          <w:sz w:val="32"/>
          <w:szCs w:val="32"/>
          <w:lang w:eastAsia="zh-CN"/>
        </w:rPr>
        <w:t>附件</w:t>
      </w:r>
      <w:r>
        <w:rPr>
          <w:rFonts w:hint="eastAsia" w:ascii="CESI黑体-GB13000" w:hAnsi="CESI黑体-GB13000" w:eastAsia="CESI黑体-GB13000" w:cs="CESI黑体-GB13000"/>
          <w:sz w:val="32"/>
          <w:szCs w:val="32"/>
          <w:lang w:val="en-US" w:eastAsia="zh-CN"/>
        </w:rPr>
        <w:t>1</w:t>
      </w:r>
    </w:p>
    <w:p>
      <w:pPr>
        <w:spacing w:after="0"/>
        <w:ind w:firstLine="880"/>
        <w:jc w:val="center"/>
        <w:rPr>
          <w:rFonts w:ascii="方正小标宋_GBK" w:eastAsia="方正小标宋_GBK"/>
          <w:sz w:val="44"/>
          <w:szCs w:val="44"/>
        </w:rPr>
      </w:pPr>
    </w:p>
    <w:p>
      <w:pPr>
        <w:spacing w:after="0"/>
        <w:ind w:firstLine="880"/>
        <w:jc w:val="center"/>
        <w:rPr>
          <w:rFonts w:ascii="方正小标宋_GBK" w:eastAsia="方正小标宋_GBK"/>
          <w:sz w:val="44"/>
          <w:szCs w:val="44"/>
        </w:rPr>
      </w:pPr>
    </w:p>
    <w:p>
      <w:pPr>
        <w:spacing w:after="0"/>
        <w:ind w:firstLine="880"/>
        <w:rPr>
          <w:rFonts w:ascii="方正小标宋_GBK" w:eastAsia="方正小标宋_GBK"/>
          <w:sz w:val="44"/>
          <w:szCs w:val="44"/>
        </w:rPr>
      </w:pPr>
      <w:r>
        <w:rPr>
          <w:rFonts w:hint="eastAsia" w:ascii="方正小标宋_GBK" w:eastAsia="方正小标宋_GBK"/>
          <w:sz w:val="44"/>
          <w:szCs w:val="44"/>
        </w:rPr>
        <w:t>北京市促进科幻产业发展行动计划</w:t>
      </w:r>
    </w:p>
    <w:p>
      <w:pPr>
        <w:spacing w:after="0"/>
        <w:ind w:firstLine="2880" w:firstLineChars="900"/>
      </w:pPr>
      <w:r>
        <w:rPr>
          <w:rFonts w:hint="eastAsia"/>
        </w:rPr>
        <w:t>（2024-202</w:t>
      </w:r>
      <w:r>
        <w:t>7</w:t>
      </w:r>
      <w:r>
        <w:rPr>
          <w:rFonts w:hint="eastAsia"/>
        </w:rPr>
        <w:t>年）</w:t>
      </w:r>
    </w:p>
    <w:p>
      <w:pPr>
        <w:spacing w:after="0"/>
        <w:ind w:firstLine="3200" w:firstLineChars="1000"/>
        <w:rPr>
          <w:rFonts w:ascii="楷体_GB2312" w:eastAsia="楷体_GB2312"/>
        </w:rPr>
      </w:pPr>
      <w:r>
        <w:rPr>
          <w:rFonts w:hint="eastAsia" w:ascii="楷体_GB2312" w:eastAsia="楷体_GB2312"/>
        </w:rPr>
        <w:t>（征求意见稿）</w:t>
      </w:r>
    </w:p>
    <w:p>
      <w:pPr>
        <w:spacing w:after="0"/>
        <w:ind w:firstLine="640"/>
      </w:pPr>
    </w:p>
    <w:p>
      <w:pPr>
        <w:spacing w:after="0"/>
        <w:ind w:firstLine="640"/>
        <w:rPr>
          <w:rFonts w:eastAsia="PMingLiU"/>
          <w:lang w:eastAsia="zh-TW"/>
        </w:rPr>
      </w:pPr>
      <w:bookmarkStart w:id="1" w:name="_Toc164694454"/>
      <w:bookmarkStart w:id="2" w:name="_Toc164694455"/>
      <w:bookmarkStart w:id="3" w:name="_Toc156836809"/>
      <w:r>
        <w:rPr>
          <w:rFonts w:hint="eastAsia"/>
        </w:rPr>
        <w:t>科幻产业是近年来以科幻为主题的科技赋能文化、文化与科技深度融合而形成的新领域新赛道，对提升全民科学素质、培育发展新质生产力、加快建设科技强国具有重要推动作用。为进一步贯彻落实《中国科学技术协会与北京市人民政府促进北京科幻产业发展战略合作协议》《北京市“十四五”时期国际科技创新中心建设规划》《北京市推进全国文化中心建设中长期规划》等文件和市委市政府关于促进我市科幻产业发展决策部署，更好促进科幻产业更高质量更高水平发展，制定本行动计划。</w:t>
      </w:r>
    </w:p>
    <w:p>
      <w:pPr>
        <w:pStyle w:val="2"/>
        <w:spacing w:after="0"/>
        <w:ind w:firstLineChars="200"/>
      </w:pPr>
      <w:r>
        <w:rPr>
          <w:rFonts w:hint="eastAsia"/>
        </w:rPr>
        <w:t>总体思路</w:t>
      </w:r>
    </w:p>
    <w:p>
      <w:pPr>
        <w:spacing w:after="0"/>
        <w:ind w:firstLine="640"/>
        <w:rPr>
          <w:rFonts w:eastAsiaTheme="minorEastAsia"/>
        </w:rPr>
      </w:pPr>
      <w:bookmarkStart w:id="4" w:name="_Toc156836801"/>
      <w:r>
        <w:rPr>
          <w:rFonts w:hint="eastAsia"/>
        </w:rPr>
        <w:t>以习近平新时代中国特色社会主义思想为指导，全面贯彻落实党的二十大</w:t>
      </w:r>
      <w:r>
        <w:rPr>
          <w:rFonts w:hint="eastAsia"/>
          <w:lang w:eastAsia="zh-CN"/>
        </w:rPr>
        <w:t>和二十届三中全会精神</w:t>
      </w:r>
      <w:r>
        <w:rPr>
          <w:rFonts w:hint="eastAsia"/>
        </w:rPr>
        <w:t>，充分发挥北京科技创新和文化创意独特优势，进一步激发潜在高技术附加值的消费需求，更好满足人民群众对美好生活的需要。以技术创新与示范应用为牵引，以创新链、产业链、资金链、人才链加快融合为主线，全面推动机制、模式、场景、业态创新，增强科幻产业发展内生动力，持续建设石景山区科幻产业集聚区，依托海淀、朝阳、大兴、怀柔、通州等区域科幻相关资源优势，积极打造一批有世界影响力的“炫酷”科幻场景，构建全市“一核多点”科幻产业发展新格局，以改革创新精神，探索形成推进科幻产业发展的北京范式和路径，更好支撑北京国际科技创新中心和全国文化中心建设。</w:t>
      </w:r>
    </w:p>
    <w:p>
      <w:pPr>
        <w:pStyle w:val="2"/>
        <w:spacing w:after="0"/>
        <w:ind w:firstLineChars="200"/>
      </w:pPr>
      <w:r>
        <w:rPr>
          <w:rFonts w:hint="eastAsia"/>
        </w:rPr>
        <w:t>发展目标</w:t>
      </w:r>
      <w:bookmarkEnd w:id="4"/>
    </w:p>
    <w:p>
      <w:pPr>
        <w:spacing w:after="0"/>
        <w:ind w:firstLine="640"/>
      </w:pPr>
      <w:bookmarkStart w:id="5" w:name="_Toc156836802"/>
      <w:r>
        <w:rPr>
          <w:rFonts w:hint="eastAsia"/>
        </w:rPr>
        <w:t>到</w:t>
      </w:r>
      <w:r>
        <w:t>2025年</w:t>
      </w:r>
      <w:r>
        <w:rPr>
          <w:rFonts w:hint="eastAsia"/>
        </w:rPr>
        <w:t>底</w:t>
      </w:r>
      <w:r>
        <w:t>，</w:t>
      </w:r>
      <w:r>
        <w:rPr>
          <w:rFonts w:hint="eastAsia"/>
        </w:rPr>
        <w:t>我市</w:t>
      </w:r>
      <w:r>
        <w:t>科幻产业发展不断深化，强链、固链、延链成效显著，</w:t>
      </w:r>
      <w:r>
        <w:rPr>
          <w:rFonts w:hint="eastAsia"/>
        </w:rPr>
        <w:t>科幻重点领域</w:t>
      </w:r>
      <w:r>
        <w:rPr>
          <w:rFonts w:hint="eastAsia"/>
          <w:vertAlign w:val="superscript"/>
        </w:rPr>
        <w:t>[</w:t>
      </w:r>
      <w:r>
        <w:rPr>
          <w:rStyle w:val="18"/>
        </w:rPr>
        <w:footnoteReference w:id="0"/>
      </w:r>
      <w:r>
        <w:rPr>
          <w:rFonts w:hint="eastAsia"/>
          <w:vertAlign w:val="superscript"/>
        </w:rPr>
        <w:t>]</w:t>
      </w:r>
      <w:r>
        <w:rPr>
          <w:rFonts w:hint="eastAsia"/>
        </w:rPr>
        <w:t>产业规模达到600亿元，</w:t>
      </w:r>
      <w:r>
        <w:t>初步建成较为完善的科幻产业</w:t>
      </w:r>
      <w:r>
        <w:rPr>
          <w:rFonts w:hint="eastAsia"/>
        </w:rPr>
        <w:t>生态。到</w:t>
      </w:r>
      <w:r>
        <w:t>202</w:t>
      </w:r>
      <w:r>
        <w:rPr>
          <w:rFonts w:hint="eastAsia"/>
        </w:rPr>
        <w:t>7</w:t>
      </w:r>
      <w:r>
        <w:t>年，科幻</w:t>
      </w:r>
      <w:r>
        <w:rPr>
          <w:rFonts w:hint="eastAsia"/>
        </w:rPr>
        <w:t>产业承载力进一步提升，具有全球影响力的科幻产业创新策源地加速形成，</w:t>
      </w:r>
      <w:r>
        <w:t>科幻</w:t>
      </w:r>
      <w:r>
        <w:rPr>
          <w:rFonts w:hint="eastAsia"/>
        </w:rPr>
        <w:t>重点领域</w:t>
      </w:r>
      <w:r>
        <w:t>产业</w:t>
      </w:r>
      <w:r>
        <w:rPr>
          <w:rFonts w:hint="eastAsia"/>
        </w:rPr>
        <w:t>规模超过10</w:t>
      </w:r>
      <w:r>
        <w:t>00亿元</w:t>
      </w:r>
      <w:r>
        <w:rPr>
          <w:rFonts w:hint="eastAsia"/>
        </w:rPr>
        <w:t>；培育引进10</w:t>
      </w:r>
      <w:r>
        <w:t>家科幻龙头企业</w:t>
      </w:r>
      <w:r>
        <w:rPr>
          <w:rFonts w:hint="eastAsia"/>
          <w:vertAlign w:val="superscript"/>
        </w:rPr>
        <w:t>[</w:t>
      </w:r>
      <w:r>
        <w:rPr>
          <w:rStyle w:val="18"/>
        </w:rPr>
        <w:footnoteReference w:id="1"/>
      </w:r>
      <w:r>
        <w:rPr>
          <w:rFonts w:hint="eastAsia"/>
          <w:vertAlign w:val="superscript"/>
        </w:rPr>
        <w:t>]</w:t>
      </w:r>
      <w:r>
        <w:t>及</w:t>
      </w:r>
      <w:r>
        <w:rPr>
          <w:rFonts w:hint="eastAsia"/>
        </w:rPr>
        <w:t>60</w:t>
      </w:r>
      <w:r>
        <w:t>家</w:t>
      </w:r>
      <w:r>
        <w:rPr>
          <w:rFonts w:hint="eastAsia"/>
        </w:rPr>
        <w:t>科幻</w:t>
      </w:r>
      <w:r>
        <w:t>重点企业</w:t>
      </w:r>
      <w:r>
        <w:rPr>
          <w:rFonts w:hint="eastAsia"/>
          <w:vertAlign w:val="superscript"/>
        </w:rPr>
        <w:t>[</w:t>
      </w:r>
      <w:r>
        <w:rPr>
          <w:rStyle w:val="18"/>
        </w:rPr>
        <w:footnoteReference w:id="2"/>
      </w:r>
      <w:r>
        <w:rPr>
          <w:rFonts w:hint="eastAsia"/>
          <w:vertAlign w:val="superscript"/>
        </w:rPr>
        <w:t>]</w:t>
      </w:r>
      <w:r>
        <w:rPr>
          <w:rFonts w:hint="eastAsia"/>
        </w:rPr>
        <w:t>；</w:t>
      </w:r>
      <w:r>
        <w:t>新增8</w:t>
      </w:r>
      <w:r>
        <w:rPr>
          <w:rFonts w:hint="eastAsia"/>
        </w:rPr>
        <w:t>-10</w:t>
      </w:r>
      <w:r>
        <w:t>个获批上市</w:t>
      </w:r>
      <w:r>
        <w:rPr>
          <w:rFonts w:hint="eastAsia"/>
        </w:rPr>
        <w:t>的</w:t>
      </w:r>
      <w:r>
        <w:t>优质科幻IP</w:t>
      </w:r>
      <w:r>
        <w:rPr>
          <w:rFonts w:hint="eastAsia"/>
          <w:vertAlign w:val="superscript"/>
        </w:rPr>
        <w:t>[</w:t>
      </w:r>
      <w:r>
        <w:rPr>
          <w:rStyle w:val="18"/>
        </w:rPr>
        <w:footnoteReference w:id="3"/>
      </w:r>
      <w:r>
        <w:rPr>
          <w:rFonts w:hint="eastAsia"/>
          <w:vertAlign w:val="superscript"/>
        </w:rPr>
        <w:t>]</w:t>
      </w:r>
      <w:r>
        <w:t>作品</w:t>
      </w:r>
      <w:r>
        <w:rPr>
          <w:rFonts w:hint="eastAsia"/>
        </w:rPr>
        <w:t>；</w:t>
      </w:r>
      <w:r>
        <w:t>打造不少于10个</w:t>
      </w:r>
      <w:r>
        <w:rPr>
          <w:rFonts w:hint="eastAsia"/>
        </w:rPr>
        <w:t>具有世界影响力的</w:t>
      </w:r>
      <w:r>
        <w:t>科幻</w:t>
      </w:r>
      <w:r>
        <w:rPr>
          <w:rFonts w:hint="eastAsia"/>
        </w:rPr>
        <w:t>主题展示</w:t>
      </w:r>
      <w:r>
        <w:t>场景</w:t>
      </w:r>
      <w:r>
        <w:rPr>
          <w:rFonts w:hint="eastAsia"/>
        </w:rPr>
        <w:t>；</w:t>
      </w:r>
      <w:r>
        <w:t>引</w:t>
      </w:r>
      <w:r>
        <w:rPr>
          <w:rFonts w:hint="eastAsia"/>
        </w:rPr>
        <w:t>育</w:t>
      </w:r>
      <w:r>
        <w:t>不少于</w:t>
      </w:r>
      <w:r>
        <w:rPr>
          <w:rFonts w:hint="eastAsia"/>
        </w:rPr>
        <w:t>100</w:t>
      </w:r>
      <w:r>
        <w:t>名</w:t>
      </w:r>
      <w:r>
        <w:rPr>
          <w:rFonts w:hint="eastAsia"/>
        </w:rPr>
        <w:t>高层次</w:t>
      </w:r>
      <w:r>
        <w:t>科幻人才</w:t>
      </w:r>
      <w:r>
        <w:rPr>
          <w:rFonts w:hint="eastAsia"/>
          <w:vertAlign w:val="superscript"/>
        </w:rPr>
        <w:t>[</w:t>
      </w:r>
      <w:r>
        <w:rPr>
          <w:rStyle w:val="18"/>
        </w:rPr>
        <w:footnoteReference w:id="4"/>
      </w:r>
      <w:r>
        <w:rPr>
          <w:rFonts w:hint="eastAsia"/>
          <w:vertAlign w:val="superscript"/>
        </w:rPr>
        <w:t>]</w:t>
      </w:r>
      <w:r>
        <w:rPr>
          <w:rFonts w:hint="eastAsia"/>
        </w:rPr>
        <w:t>，更好支撑全市科幻产业创新发展。</w:t>
      </w:r>
    </w:p>
    <w:bookmarkEnd w:id="5"/>
    <w:p>
      <w:pPr>
        <w:pStyle w:val="2"/>
        <w:spacing w:after="0"/>
        <w:ind w:firstLineChars="200"/>
      </w:pPr>
      <w:bookmarkStart w:id="6" w:name="_Toc156836807"/>
      <w:r>
        <w:rPr>
          <w:rFonts w:hint="eastAsia"/>
        </w:rPr>
        <w:t>重点</w:t>
      </w:r>
      <w:bookmarkEnd w:id="6"/>
      <w:r>
        <w:rPr>
          <w:rFonts w:hint="eastAsia"/>
        </w:rPr>
        <w:t>任务</w:t>
      </w:r>
    </w:p>
    <w:p>
      <w:pPr>
        <w:pStyle w:val="4"/>
        <w:spacing w:after="0"/>
        <w:ind w:left="0" w:firstLine="640" w:firstLineChars="200"/>
      </w:pPr>
      <w:bookmarkStart w:id="7" w:name="_Toc164694458"/>
      <w:bookmarkStart w:id="8" w:name="_Toc26038"/>
      <w:r>
        <w:t>优化产业发展</w:t>
      </w:r>
      <w:r>
        <w:rPr>
          <w:rFonts w:hint="eastAsia"/>
        </w:rPr>
        <w:t>布局</w:t>
      </w:r>
      <w:r>
        <w:t>，推进“一核多点”建设</w:t>
      </w:r>
      <w:bookmarkEnd w:id="7"/>
      <w:bookmarkEnd w:id="8"/>
    </w:p>
    <w:p>
      <w:pPr>
        <w:pStyle w:val="3"/>
        <w:spacing w:after="0"/>
        <w:ind w:firstLine="640" w:firstLineChars="200"/>
      </w:pPr>
      <w:r>
        <w:rPr>
          <w:rFonts w:hint="eastAsia"/>
        </w:rPr>
        <w:t>加快科幻产业集聚区建设。加快推进以石景山区首钢园为核心的科幻产业集聚区建设，以科幻相关核心技术为支撑，重点打造涵盖科幻阅读、科幻文旅（会展）、科幻影视（动漫）、科幻游戏等多个科幻重点领域产业的北京科幻核心地标。促进科幻、虚拟现实</w:t>
      </w:r>
      <w:r>
        <w:t>、工业互联网等产业</w:t>
      </w:r>
      <w:r>
        <w:rPr>
          <w:rFonts w:hint="eastAsia"/>
        </w:rPr>
        <w:t>融合发展</w:t>
      </w:r>
      <w:r>
        <w:t>。</w:t>
      </w:r>
      <w:r>
        <w:rPr>
          <w:rFonts w:hint="eastAsia"/>
        </w:rPr>
        <w:t>在首钢园打造集科幻主题购物、科幻技术展示、科幻文化体验于一体的消费及体验场所，促进科幻消费扩大。推进</w:t>
      </w:r>
      <w:r>
        <w:t>中关村科幻产业创新中心二期</w:t>
      </w:r>
      <w:r>
        <w:rPr>
          <w:rFonts w:hint="eastAsia"/>
        </w:rPr>
        <w:t>建设</w:t>
      </w:r>
      <w:r>
        <w:t>，促进企业、人才集聚</w:t>
      </w:r>
      <w:r>
        <w:rPr>
          <w:rFonts w:hint="eastAsia"/>
        </w:rPr>
        <w:t>，</w:t>
      </w:r>
      <w:r>
        <w:t>落地不少于</w:t>
      </w:r>
      <w:r>
        <w:rPr>
          <w:rFonts w:hint="eastAsia"/>
        </w:rPr>
        <w:t>6</w:t>
      </w:r>
      <w:r>
        <w:t>家科幻龙头企业</w:t>
      </w:r>
      <w:r>
        <w:rPr>
          <w:rFonts w:hint="eastAsia"/>
        </w:rPr>
        <w:t>和</w:t>
      </w:r>
      <w:r>
        <w:t>不少于50家科幻重点企业，引育不少于</w:t>
      </w:r>
      <w:r>
        <w:rPr>
          <w:rFonts w:hint="eastAsia"/>
        </w:rPr>
        <w:t>6</w:t>
      </w:r>
      <w:r>
        <w:t>0名科幻人才，培育</w:t>
      </w:r>
      <w:r>
        <w:rPr>
          <w:rFonts w:hint="eastAsia"/>
        </w:rPr>
        <w:t>不少于6</w:t>
      </w:r>
      <w:r>
        <w:t>个优质科幻IP，推动落地</w:t>
      </w:r>
      <w:r>
        <w:rPr>
          <w:rFonts w:hint="eastAsia"/>
        </w:rPr>
        <w:t>不少于</w:t>
      </w:r>
      <w:r>
        <w:t>10个科幻平台，搭建</w:t>
      </w:r>
      <w:r>
        <w:rPr>
          <w:rFonts w:hint="eastAsia"/>
        </w:rPr>
        <w:t>不少于6</w:t>
      </w:r>
      <w:r>
        <w:t>个科幻主题展示场景</w:t>
      </w:r>
      <w:r>
        <w:rPr>
          <w:rFonts w:hint="eastAsia"/>
        </w:rPr>
        <w:t>。支持人工智能、元宇宙等新技术新产品应用示范，</w:t>
      </w:r>
      <w:r>
        <w:t>将集聚区打造为集“炫酷”科幻体验与产业高质量发展为一体的北京科幻产业创新高地。（责任单位：石景山区政府，首钢集团，</w:t>
      </w:r>
      <w:r>
        <w:rPr>
          <w:rFonts w:hint="eastAsia"/>
        </w:rPr>
        <w:t>市委宣传部，</w:t>
      </w:r>
      <w:r>
        <w:t>市科委</w:t>
      </w:r>
      <w:r>
        <w:rPr>
          <w:rFonts w:hint="eastAsia"/>
        </w:rPr>
        <w:t>、中关村管委会，市经济和信息化局，市文化和旅游局，市广播电视局，市人才工作局，市人力资源社会保障局，市科协）</w:t>
      </w:r>
      <w:bookmarkStart w:id="9" w:name="_Hlk160115904"/>
    </w:p>
    <w:p>
      <w:pPr>
        <w:pStyle w:val="3"/>
        <w:spacing w:after="0"/>
        <w:ind w:firstLine="640" w:firstLineChars="200"/>
      </w:pPr>
      <w:bookmarkStart w:id="10" w:name="_Hlk171439734"/>
      <w:r>
        <w:rPr>
          <w:rFonts w:hint="eastAsia"/>
        </w:rPr>
        <w:t>加快推进科幻游戏领域高质量发展。</w:t>
      </w:r>
      <w:bookmarkEnd w:id="10"/>
      <w:r>
        <w:rPr>
          <w:rFonts w:hint="eastAsia"/>
        </w:rPr>
        <w:t>发挥海淀区、石景山区等区域原始创新资源集聚优势，重点支持科幻游戏领域发展</w:t>
      </w:r>
      <w:r>
        <w:rPr>
          <w:rFonts w:hint="eastAsia"/>
          <w:lang w:eastAsia="zh-CN"/>
        </w:rPr>
        <w:t>。</w:t>
      </w:r>
      <w:r>
        <w:rPr>
          <w:rFonts w:hint="eastAsia"/>
        </w:rPr>
        <w:t>围绕石景山首钢园游戏电竞产业和数字消费基础，举办“京西电竞节”“</w:t>
      </w:r>
      <w:r>
        <w:t>TGA腾讯电竞运动会”等系列品牌活动</w:t>
      </w:r>
      <w:r>
        <w:rPr>
          <w:rFonts w:hint="eastAsia"/>
        </w:rPr>
        <w:t>。引育不少于2家科幻龙头企业、不少于5家科幻重点企业。依托区内高校资源，引育不少于10名科幻人才。在中关村壹号、牡丹厂、北京卫星制造厂科技园</w:t>
      </w:r>
      <w:r>
        <w:t>等地打造科幻游戏等主题的展示场景不少于</w:t>
      </w:r>
      <w:r>
        <w:rPr>
          <w:rFonts w:hint="eastAsia"/>
        </w:rPr>
        <w:t>1</w:t>
      </w:r>
      <w:r>
        <w:t>个</w:t>
      </w:r>
      <w:r>
        <w:rPr>
          <w:rFonts w:hint="eastAsia"/>
        </w:rPr>
        <w:t>。（责任单位：海淀区政府，石景山区政府，市委宣传部，市科委、中关村管委会，市经济和信息化局，市文化和旅游局，市教委，首钢集团）</w:t>
      </w:r>
    </w:p>
    <w:p>
      <w:pPr>
        <w:pStyle w:val="3"/>
        <w:spacing w:after="0"/>
        <w:ind w:firstLine="640" w:firstLineChars="200"/>
      </w:pPr>
      <w:r>
        <w:rPr>
          <w:rFonts w:hint="eastAsia"/>
        </w:rPr>
        <w:t>推进科幻影视（动漫）领域创新发展。发挥朝阳区、石景山区等区域国际交往和数字消费优势，鼓励科幻影视（动漫）领域发展，引育不少于2家科幻龙头企业和不少于5家科幻重点企业，培育不少于2个科幻优质IP，引育不少于30名科幻人才。围绕优质国产科幻IP，在郎园</w:t>
      </w:r>
      <w:r>
        <w:t>Station、中关村互联网3.0产业园、798艺术区</w:t>
      </w:r>
      <w:r>
        <w:rPr>
          <w:rFonts w:hint="eastAsia"/>
        </w:rPr>
        <w:t>、首钢园等地搭建不少于2个科幻影视、科幻文旅等主题的展示场景。（责任单位：朝阳区政府，石景山区政府，市委宣传部，市科委、中关村管委会，市经济和信息化局，市文化和旅游局，首钢集团）</w:t>
      </w:r>
    </w:p>
    <w:p>
      <w:pPr>
        <w:pStyle w:val="3"/>
        <w:spacing w:after="0"/>
        <w:ind w:firstLine="640" w:firstLineChars="200"/>
      </w:pPr>
      <w:r>
        <w:rPr>
          <w:rFonts w:hint="eastAsia"/>
        </w:rPr>
        <w:t>推动相关区</w:t>
      </w:r>
      <w:r>
        <w:t>科幻产业</w:t>
      </w:r>
      <w:r>
        <w:rPr>
          <w:rFonts w:hint="eastAsia"/>
        </w:rPr>
        <w:t>差异化发展</w:t>
      </w:r>
      <w:r>
        <w:t>。</w:t>
      </w:r>
      <w:r>
        <w:rPr>
          <w:rFonts w:hint="eastAsia"/>
        </w:rPr>
        <w:t>怀柔区依托中影数字制作基地及怀柔科学城大科学装置等文化、科技资源，以科幻影视IP为核心，推进搭建面向科幻影视的国产化数字拍摄适配测试相关平台，探索在北京国际电影节期间增设科幻主题论坛。大兴区依托视听内容制作产业优势，持续提升</w:t>
      </w:r>
      <w:r>
        <w:t>XR虚拟演播室、星光5G</w:t>
      </w:r>
      <w:r>
        <w:rPr>
          <w:rFonts w:hint="eastAsia"/>
        </w:rPr>
        <w:t>＋</w:t>
      </w:r>
      <w:r>
        <w:t>超高清远程制作中心等设施水平，</w:t>
      </w:r>
      <w:r>
        <w:rPr>
          <w:rFonts w:hint="eastAsia"/>
        </w:rPr>
        <w:t>重点打造科幻主题专题栏目、剧作等视听内容产品一站式孵化平台，</w:t>
      </w:r>
      <w:r>
        <w:t>培育产业发展新增长极。</w:t>
      </w:r>
      <w:r>
        <w:rPr>
          <w:rFonts w:hint="eastAsia"/>
        </w:rPr>
        <w:t>通州区依托大运河、宋庄、环球影城等文化资源，拓展科幻元素应用内涵，加强文化资源创造性转化和创新性开发，赋能各类科幻主题场景建设。在怀柔中影数字制作基地、大兴星光影视基地、通州元宇宙创新中心、张家湾设计小镇、环球影城周边等地打造科幻主题展示场景不少于3</w:t>
      </w:r>
      <w:r>
        <w:t>个</w:t>
      </w:r>
      <w:r>
        <w:rPr>
          <w:rFonts w:hint="eastAsia"/>
        </w:rPr>
        <w:t>。</w:t>
      </w:r>
      <w:bookmarkStart w:id="11" w:name="_Hlk171065182"/>
      <w:r>
        <w:rPr>
          <w:rFonts w:hint="eastAsia"/>
        </w:rPr>
        <w:t>（责任单位：怀柔区政府，大兴区政府，通州区政府，市委宣传部，市科委、中关村管委会，市经济和信息化局，市文化和旅游局）</w:t>
      </w:r>
      <w:bookmarkEnd w:id="9"/>
      <w:bookmarkEnd w:id="11"/>
    </w:p>
    <w:p>
      <w:pPr>
        <w:pStyle w:val="4"/>
        <w:spacing w:after="0"/>
        <w:ind w:left="0" w:firstLine="640" w:firstLineChars="200"/>
      </w:pPr>
      <w:r>
        <w:rPr>
          <w:rFonts w:hint="eastAsia"/>
        </w:rPr>
        <w:t>鼓励科幻内容原创，推动科幻IP转化</w:t>
      </w:r>
    </w:p>
    <w:p>
      <w:pPr>
        <w:pStyle w:val="3"/>
        <w:spacing w:after="0"/>
        <w:ind w:firstLine="640" w:firstLineChars="200"/>
      </w:pPr>
      <w:r>
        <w:rPr>
          <w:rFonts w:hint="eastAsia"/>
        </w:rPr>
        <w:t>创新发掘优质科幻作品。在科幻阅读方面，进一步拓展文学创作类赛事的科幻赛道，扩大科幻创作创意大赛“光年奖”等赛事活动影响力，鼓励在京出版企业、杂志社等与相关协会合作开展具有全国影响力的科幻原创作品赛事活动；鼓励科幻创作者及相关企业结合首都文化特色开展科幻原创设计，孵育系列科幻作品。在科幻影视（动漫）方面，发挥北京宣传文化引导基金作用，对在京立项的重点科幻影视作品予以扶持；依托“中国（北京）动画周”品牌活动，带动科幻与动漫产业融合发展。在科幻游戏方面，依托“电竞北京”品牌活动，促进含科幻元素的重大电竞赛事活动在科幻产业集聚区等地落地。（责任单位：市科协，市委宣传部，市广播电视局，石景山区政府，首钢集团）</w:t>
      </w:r>
    </w:p>
    <w:p>
      <w:pPr>
        <w:pStyle w:val="3"/>
        <w:spacing w:after="0"/>
        <w:ind w:firstLine="640" w:firstLineChars="200"/>
      </w:pPr>
      <w:r>
        <w:rPr>
          <w:rFonts w:hint="eastAsia"/>
        </w:rPr>
        <w:t>推动科幻IP向阅读、影视（动漫）、游戏等领域转化。探索建立科幻IP价值评估机制，发挥IP运营类企业作用，鼓励相关平台、组织挖掘优质科幻IP。完善科幻IP转化运营体系，整合科幻创作者、科技研发机构、科幻运营机构，培育不少于3</w:t>
      </w:r>
      <w:r>
        <w:t>个专业化科幻IP运营团队，链接投资、创意、技术、制作等多方资源，进行系列化、持续性科幻IP开发运营。</w:t>
      </w:r>
      <w:r>
        <w:rPr>
          <w:rFonts w:hint="eastAsia"/>
        </w:rPr>
        <w:t>支持IP运营类企业持续进行已有科幻</w:t>
      </w:r>
      <w:r>
        <w:t>IP</w:t>
      </w:r>
      <w:r>
        <w:rPr>
          <w:rFonts w:hint="eastAsia"/>
        </w:rPr>
        <w:t>的</w:t>
      </w:r>
      <w:r>
        <w:t>改编</w:t>
      </w:r>
      <w:r>
        <w:rPr>
          <w:rFonts w:hint="eastAsia"/>
        </w:rPr>
        <w:t>与</w:t>
      </w:r>
      <w:r>
        <w:t>跨界开发，不断提升</w:t>
      </w:r>
      <w:r>
        <w:rPr>
          <w:rFonts w:hint="eastAsia"/>
        </w:rPr>
        <w:t>科幻</w:t>
      </w:r>
      <w:r>
        <w:t>IP综合运营能力。</w:t>
      </w:r>
      <w:r>
        <w:rPr>
          <w:rFonts w:hint="eastAsia"/>
        </w:rPr>
        <w:t>（责任单位：相关区政府，市广播电视局，市委宣传部，市科委、中关村管委会，市科协）</w:t>
      </w:r>
    </w:p>
    <w:p>
      <w:pPr>
        <w:pStyle w:val="3"/>
        <w:spacing w:after="0"/>
        <w:ind w:firstLine="640" w:firstLineChars="200"/>
      </w:pPr>
      <w:r>
        <w:t>引导优质科幻IP向场景体验领域转化。推动优质科幻IP向文创产品、主题乐园、实景娱乐、沉浸演出等线下转化，</w:t>
      </w:r>
      <w:r>
        <w:rPr>
          <w:rFonts w:hint="eastAsia"/>
        </w:rPr>
        <w:t>促进科幻与文旅产业融合发展。发挥首钢园工业遗产风貌与现代科技元素融合优势，打造一批科幻主题场景。广泛对接国内外知名数字技术体验项目，融入优质科幻元素，</w:t>
      </w:r>
      <w:r>
        <w:t>结合商业载体及主题活动，</w:t>
      </w:r>
      <w:r>
        <w:rPr>
          <w:rFonts w:hint="eastAsia"/>
        </w:rPr>
        <w:t>在全市范围搭建10</w:t>
      </w:r>
      <w:r>
        <w:t>个以上</w:t>
      </w:r>
      <w:r>
        <w:rPr>
          <w:rFonts w:hint="eastAsia"/>
        </w:rPr>
        <w:t>优质</w:t>
      </w:r>
      <w:r>
        <w:t>科幻</w:t>
      </w:r>
      <w:r>
        <w:rPr>
          <w:rFonts w:hint="eastAsia"/>
        </w:rPr>
        <w:t>主题IP</w:t>
      </w:r>
      <w:r>
        <w:t>场景。（责任单位：</w:t>
      </w:r>
      <w:r>
        <w:rPr>
          <w:rFonts w:hint="eastAsia"/>
        </w:rPr>
        <w:t>各相关区政府，首钢集团，</w:t>
      </w:r>
      <w:r>
        <w:t>市经济和信息化局，市广播电视局，市文化和旅游局</w:t>
      </w:r>
      <w:r>
        <w:rPr>
          <w:rFonts w:hint="eastAsia"/>
        </w:rPr>
        <w:t>）</w:t>
      </w:r>
    </w:p>
    <w:p>
      <w:pPr>
        <w:pStyle w:val="4"/>
        <w:spacing w:after="0"/>
        <w:ind w:left="0" w:firstLine="640" w:firstLineChars="200"/>
      </w:pPr>
      <w:r>
        <w:rPr>
          <w:rFonts w:hint="eastAsia"/>
        </w:rPr>
        <w:t>推动科幻技术攻关，引领文化科技融合</w:t>
      </w:r>
    </w:p>
    <w:p>
      <w:pPr>
        <w:pStyle w:val="3"/>
        <w:spacing w:after="0"/>
        <w:ind w:firstLine="640" w:firstLineChars="200"/>
      </w:pPr>
      <w:r>
        <w:rPr>
          <w:rFonts w:hint="eastAsia"/>
        </w:rPr>
        <w:t>支持前沿技术在科幻影视制作中创新应用。提高科幻影视行业关键技术国产化率，完善科幻影视后期制作等重点环节的底层程序架构和技术底座。建设科幻影视垂类大模型，整合支撑大模型训练应用的数据资源。健全依托云计算、大数据、人工智能等新一代信息技术的现代影视制作模式。支持“科技＋视听”融合服务平台建设，引导科幻影视与科技企业集聚，构建科影融合创新生态。推动一批大制作、高口碑科影融合示范项目加速落地，探索AI、云端制作、虚拟拍摄等新技术在科幻影视制作中的创新应用和标准化流程构建。（责任单位：市科委、中关村管委会，市委宣传部，市广播电视局，石景山区政府）</w:t>
      </w:r>
    </w:p>
    <w:p>
      <w:pPr>
        <w:pStyle w:val="3"/>
        <w:spacing w:after="0"/>
        <w:ind w:firstLine="640" w:firstLineChars="200"/>
      </w:pPr>
      <w:r>
        <w:t>推动</w:t>
      </w:r>
      <w:r>
        <w:rPr>
          <w:rFonts w:hint="eastAsia"/>
        </w:rPr>
        <w:t>前沿技术在</w:t>
      </w:r>
      <w:r>
        <w:t>科幻主题展示场景</w:t>
      </w:r>
      <w:r>
        <w:rPr>
          <w:rFonts w:hint="eastAsia"/>
        </w:rPr>
        <w:t>示范应用</w:t>
      </w:r>
      <w:r>
        <w:t>。支持基于人工智能底层技术生成的科幻IP场景展示</w:t>
      </w:r>
      <w:r>
        <w:rPr>
          <w:rFonts w:hint="eastAsia"/>
        </w:rPr>
        <w:t>。</w:t>
      </w:r>
      <w:r>
        <w:t>强化科幻商业配套建设，推进科幻消费体验场景建设。推动企业与高校科研院所联合攻关，突破近眼显示、超高清显示等技术在科幻产业场景落地</w:t>
      </w:r>
      <w:r>
        <w:rPr>
          <w:rFonts w:hint="eastAsia"/>
        </w:rPr>
        <w:t>。</w:t>
      </w:r>
      <w:r>
        <w:t>鼓励打造多人大空间技术沉浸式互动体验场景</w:t>
      </w:r>
      <w:r>
        <w:rPr>
          <w:rFonts w:hint="eastAsia"/>
        </w:rPr>
        <w:t>。</w:t>
      </w:r>
      <w:r>
        <w:t>支持基于虚拟现实技术的实时渲染虚拟仿真交互式体验场景</w:t>
      </w:r>
      <w:r>
        <w:rPr>
          <w:rFonts w:hint="eastAsia"/>
        </w:rPr>
        <w:t>。</w:t>
      </w:r>
      <w:r>
        <w:t>鼓励将计算机视觉动作捕捉技术和沉浸式视频融合打造XR沉浸式体验空间。（责任单位：市科委、中关村管委会，市广播电视局，市经济和信息化局，</w:t>
      </w:r>
      <w:r>
        <w:rPr>
          <w:rFonts w:hint="eastAsia"/>
        </w:rPr>
        <w:t>相关区政府，首钢集团）</w:t>
      </w:r>
    </w:p>
    <w:p>
      <w:pPr>
        <w:pStyle w:val="3"/>
        <w:spacing w:after="0"/>
        <w:ind w:firstLine="640" w:firstLineChars="200"/>
      </w:pPr>
      <w:r>
        <w:rPr>
          <w:rFonts w:hint="eastAsia"/>
        </w:rPr>
        <w:t>支持人工智能辅助相关技术在科幻领域的适配性研发。围绕科幻内容创作创意需求，搭建</w:t>
      </w:r>
      <w:r>
        <w:t>AIGC＋引擎工具集，推动文生图、文生视频、三维场景数据封装、语言大模型等技术创新应用于科幻内容创作</w:t>
      </w:r>
      <w:r>
        <w:rPr>
          <w:rFonts w:hint="eastAsia"/>
        </w:rPr>
        <w:t>。</w:t>
      </w:r>
      <w:r>
        <w:t>推动人工智能生成式大模型关键算法和数据在科幻领域创新应用；支持建设科幻AI知识服务系统。（责任单位：市科委、中关村管委会</w:t>
      </w:r>
      <w:r>
        <w:rPr>
          <w:rFonts w:hint="eastAsia"/>
        </w:rPr>
        <w:t>，</w:t>
      </w:r>
      <w:r>
        <w:t>市经济和信息化局）</w:t>
      </w:r>
    </w:p>
    <w:p>
      <w:pPr>
        <w:pStyle w:val="3"/>
        <w:spacing w:after="0"/>
        <w:ind w:firstLine="640" w:firstLineChars="200"/>
      </w:pPr>
      <w:r>
        <w:rPr>
          <w:rFonts w:hint="eastAsia"/>
        </w:rPr>
        <w:t>推动感知交互相关技术在科幻领域的适配性研发。支持动态手势识别、手眼协同交互、多通道纹理信息采集方法等智能感知与交互技术在科幻领域的应用研发。（责任单位：市科委、中关村管委会，市经济和信息化局）</w:t>
      </w:r>
    </w:p>
    <w:p>
      <w:pPr>
        <w:pStyle w:val="3"/>
        <w:spacing w:after="0"/>
        <w:ind w:firstLine="640" w:firstLineChars="200"/>
      </w:pPr>
      <w:r>
        <w:rPr>
          <w:rFonts w:hint="eastAsia"/>
        </w:rPr>
        <w:t>鼓励传输分发相关技术在科幻领域的适配性研发。支持开发和优化机器视觉、图像处理等算法与软件，推动硬件创新应用。开展区块链数字身份、分布式可信存储、可信计算芯片等支撑技术和数字监管技术研发应用。（责任单位：市科委、中关村管委会，市经济和信息化局）</w:t>
      </w:r>
    </w:p>
    <w:p>
      <w:pPr>
        <w:pStyle w:val="3"/>
        <w:spacing w:after="0"/>
        <w:ind w:firstLine="640" w:firstLineChars="200"/>
      </w:pPr>
      <w:r>
        <w:rPr>
          <w:rFonts w:hint="eastAsia"/>
        </w:rPr>
        <w:t>支持内容呈现相关技术在科幻领域的适配性研发。面向云上</w:t>
      </w:r>
      <w:r>
        <w:t>XR数字制播、人工智能辅助云制作、多端融合数字放映与体验等产业链，推动国产化技术创新应用</w:t>
      </w:r>
      <w:r>
        <w:rPr>
          <w:rFonts w:hint="eastAsia"/>
        </w:rPr>
        <w:t>。</w:t>
      </w:r>
      <w:r>
        <w:t>鼓励面向科幻产业的MR终端、沉浸式数字交互、高精度数字人等前沿技术内容创新应用。（责任单位：市科委、中关村管委会</w:t>
      </w:r>
      <w:r>
        <w:rPr>
          <w:rFonts w:hint="eastAsia"/>
        </w:rPr>
        <w:t>，</w:t>
      </w:r>
      <w:r>
        <w:t>市经济和信息化局</w:t>
      </w:r>
      <w:r>
        <w:rPr>
          <w:rFonts w:hint="eastAsia"/>
        </w:rPr>
        <w:t>，石景山区政府</w:t>
      </w:r>
      <w:r>
        <w:t>）</w:t>
      </w:r>
    </w:p>
    <w:p>
      <w:pPr>
        <w:pStyle w:val="3"/>
        <w:spacing w:after="0"/>
        <w:ind w:firstLine="640" w:firstLineChars="200"/>
      </w:pPr>
      <w:r>
        <w:rPr>
          <w:rFonts w:hint="eastAsia"/>
        </w:rPr>
        <w:t>普及推广科幻相关前沿技术。鼓励出版机构会同科研人员和科普创作人员，围绕北京六大领域20个未来产业，创作出版系列精品科普图书。在首钢园等科幻产业相关园区组织开展“全国科普日”“全国科技工作者日”“中国科学文化论坛”等科普活动，提高科幻阅读、影视（动漫）、游戏、文旅等科幻创意人员对前沿技术现状、发展方向的理解，夯实科幻作品的科学内涵。围绕科幻产业对科幻作品创作和呈现技术的需求，开展科幻产业从业人员和科研人员的对接交流活动。（责任单位：市科协，市委宣传部，市科委、中关村管委会，首钢集团，市文化和旅游局）</w:t>
      </w:r>
    </w:p>
    <w:bookmarkEnd w:id="1"/>
    <w:bookmarkEnd w:id="2"/>
    <w:p>
      <w:pPr>
        <w:pStyle w:val="4"/>
        <w:spacing w:after="0"/>
        <w:ind w:left="0" w:firstLine="640" w:firstLineChars="200"/>
      </w:pPr>
      <w:bookmarkStart w:id="12" w:name="_Toc19184"/>
      <w:bookmarkStart w:id="13" w:name="_Toc164694456"/>
      <w:r>
        <w:rPr>
          <w:rFonts w:hint="eastAsia"/>
        </w:rPr>
        <w:t>强化科幻要素支撑，提升产业发展能级</w:t>
      </w:r>
      <w:bookmarkEnd w:id="3"/>
      <w:bookmarkEnd w:id="12"/>
      <w:bookmarkEnd w:id="13"/>
    </w:p>
    <w:p>
      <w:pPr>
        <w:pStyle w:val="3"/>
        <w:spacing w:after="0"/>
        <w:ind w:firstLine="640" w:firstLineChars="200"/>
      </w:pPr>
      <w:r>
        <w:rPr>
          <w:rFonts w:hint="eastAsia"/>
        </w:rPr>
        <w:t>加强科幻人才培育。构建高校科幻人才培养体系，推进影视类、艺术类、理工类院校的科幻领域人才培养工作，组织丰富多彩的科幻教育活动，开展科幻教材编写、开设科幻通识课程、建设科幻教师队伍，对相关人才培养情况进行评价，形成科幻人才培养长效机制。鼓励在中小学推广科幻文学和科幻文化，通过“科幻创意坊”等形式开展科幻教育。鼓励理工类院校开设科幻创意写作硕士点或研究方向，依托首钢园等科幻产业相关园区为高校科幻人才提供实践基地。依托影视类院校、影视类企业及相关行业协会设立科幻专业人才培训项目，培养高素质的科幻作家、导演、编剧、游戏设计师等科幻专业人才。（责任单位：市教委，市科协，相关区政府，首钢集团）</w:t>
      </w:r>
    </w:p>
    <w:p>
      <w:pPr>
        <w:pStyle w:val="3"/>
        <w:spacing w:after="0"/>
        <w:ind w:firstLine="640" w:firstLineChars="200"/>
      </w:pPr>
      <w:r>
        <w:rPr>
          <w:rFonts w:hint="eastAsia"/>
        </w:rPr>
        <w:t>优化科幻人才配套机制。对参与典型科幻项目制作及科幻龙头企业、重点企业的人才开展专项职称评审，打通仿真、虚拟现实、互联网</w:t>
      </w:r>
      <w:r>
        <w:t>3.0、文学</w:t>
      </w:r>
      <w:r>
        <w:rPr>
          <w:rFonts w:hint="eastAsia"/>
        </w:rPr>
        <w:t>创作等职称</w:t>
      </w:r>
      <w:r>
        <w:t>与科幻人才职称</w:t>
      </w:r>
      <w:r>
        <w:rPr>
          <w:rFonts w:hint="eastAsia"/>
        </w:rPr>
        <w:t>的</w:t>
      </w:r>
      <w:r>
        <w:t>互认</w:t>
      </w:r>
      <w:r>
        <w:rPr>
          <w:rFonts w:hint="eastAsia"/>
        </w:rPr>
        <w:t>机制</w:t>
      </w:r>
      <w:r>
        <w:t>。建立健全科幻人才认定分级标准和配套服务体系，</w:t>
      </w:r>
      <w:r>
        <w:rPr>
          <w:rFonts w:hint="eastAsia"/>
        </w:rPr>
        <w:t>加大科幻人才引育力度，有序开展科幻相关产业人才引进工作，给予科幻重点企业人才在工作居住证、住房、子女教育等方面的资源倾斜，营造良好人才发展环境。推动在首钢园等科幻相关园区落地“科幻人才培养实践基地”“科幻人才驿站”等人才项目，提升科幻人才培养与科幻产业发展契合度。（责任单位：市人力资源社会保障局，市人才工作局，市教委，相关区政府，首钢集团）</w:t>
      </w:r>
    </w:p>
    <w:p>
      <w:pPr>
        <w:pStyle w:val="3"/>
        <w:spacing w:after="0"/>
        <w:ind w:firstLine="640" w:firstLineChars="200"/>
      </w:pPr>
      <w:r>
        <w:rPr>
          <w:rFonts w:hint="eastAsia"/>
        </w:rPr>
        <w:t>强化科幻产业基金支持。强化科幻产业基金支持。根据产业发展情况，适度扩大科幻产业基金投资范畴，加强对人工智能、大模型、具身智能等新质生产力方向的关注。以投资为牵引，加速未来产业导入，助力科幻产业生态构建。加大对科幻影视等产业扶持力度，充分发挥北京广播电视网络视听发展等基金的作用，将科幻作为重点扶持方向。鼓励社会资本参与科幻产业投资，完善围绕科幻产业形成文化股权投资、科技型风险投资以及公益性投资等多维度的金融服务体系建设。</w:t>
      </w:r>
      <w:r>
        <w:t>（责任单位：</w:t>
      </w:r>
      <w:r>
        <w:rPr>
          <w:rFonts w:hint="eastAsia"/>
        </w:rPr>
        <w:t>市委宣传部，市委金融办，市广播电视局，市财政局，石景山区政府，首钢集团</w:t>
      </w:r>
      <w:r>
        <w:t>）</w:t>
      </w:r>
      <w:bookmarkStart w:id="21" w:name="_GoBack"/>
      <w:bookmarkEnd w:id="21"/>
    </w:p>
    <w:p>
      <w:pPr>
        <w:pStyle w:val="3"/>
        <w:spacing w:after="0"/>
        <w:ind w:firstLine="640" w:firstLineChars="200"/>
      </w:pPr>
      <w:r>
        <w:rPr>
          <w:rFonts w:hint="eastAsia"/>
        </w:rPr>
        <w:t>鼓励科幻主题数字资产开发、开放、交易。支持北京文化产权交易中心开设科幻数字资产交易专区，促进科幻影视等数字资产流通。依托专业影视数字资产平台，设立科幻影视数字资产库，支持企业开发高质量科幻</w:t>
      </w:r>
      <w:r>
        <w:t>IP数字资产，促进资产开放共享与合规交易。</w:t>
      </w:r>
      <w:r>
        <w:rPr>
          <w:rFonts w:hint="eastAsia"/>
        </w:rPr>
        <w:t>（责任单位：市委宣传部，市科委、中关村管委会，市广播电视局，石景山区政府）</w:t>
      </w:r>
    </w:p>
    <w:p>
      <w:pPr>
        <w:pStyle w:val="3"/>
        <w:spacing w:after="0"/>
        <w:ind w:firstLine="640" w:firstLineChars="200"/>
      </w:pPr>
      <w:r>
        <w:rPr>
          <w:rFonts w:hint="eastAsia"/>
        </w:rPr>
        <w:t>鼓励在科幻内容创作环节搭建共性技术服务平台。支持搭建基于文学著作数据库、影视内容及视频素材、语言文本的科幻领域</w:t>
      </w:r>
      <w:r>
        <w:t>AIGC内容生成平台</w:t>
      </w:r>
      <w:r>
        <w:rPr>
          <w:rFonts w:hint="eastAsia"/>
        </w:rPr>
        <w:t>。</w:t>
      </w:r>
      <w:r>
        <w:t>支持开发科幻IP评估及交易等服务平台。（责任单位：市科委、中关村管委会</w:t>
      </w:r>
      <w:r>
        <w:rPr>
          <w:rFonts w:hint="eastAsia"/>
        </w:rPr>
        <w:t>，</w:t>
      </w:r>
      <w:r>
        <w:t>市经济和信息化局</w:t>
      </w:r>
      <w:bookmarkStart w:id="14" w:name="_Hlk173771350"/>
      <w:r>
        <w:rPr>
          <w:rFonts w:hint="eastAsia"/>
        </w:rPr>
        <w:t>，市委宣传部，市广电局，市文化和旅游局，市科协</w:t>
      </w:r>
      <w:bookmarkEnd w:id="14"/>
      <w:r>
        <w:rPr>
          <w:rFonts w:hint="eastAsia"/>
        </w:rPr>
        <w:t>，石景山区政府</w:t>
      </w:r>
      <w:r>
        <w:t>）</w:t>
      </w:r>
    </w:p>
    <w:p>
      <w:pPr>
        <w:pStyle w:val="3"/>
        <w:spacing w:after="0"/>
        <w:ind w:firstLine="640" w:firstLineChars="200"/>
      </w:pPr>
      <w:r>
        <w:rPr>
          <w:rFonts w:hint="eastAsia"/>
        </w:rPr>
        <w:t>推动在科幻制作环节打造共性技术服务平台。支持建设大规模数字孪生应用平台。推进建设基于高速仿真代理、精度仿真模型等技术打造科幻共性技术服务平台。搭建科幻核心器件感知与沉浸式体验平台，打造</w:t>
      </w:r>
      <w:r>
        <w:t>VR/AR头戴显示系统光学等模组共性技术平台。（责任单位：市科委、中关村管委会</w:t>
      </w:r>
      <w:r>
        <w:rPr>
          <w:rFonts w:hint="eastAsia"/>
        </w:rPr>
        <w:t>，</w:t>
      </w:r>
      <w:r>
        <w:t>市经济和信息化局</w:t>
      </w:r>
      <w:r>
        <w:rPr>
          <w:rFonts w:hint="eastAsia"/>
        </w:rPr>
        <w:t>，市委宣传部，市广电局，市文化和旅游局，石景山区政府</w:t>
      </w:r>
      <w:r>
        <w:t>）</w:t>
      </w:r>
    </w:p>
    <w:p>
      <w:pPr>
        <w:pStyle w:val="3"/>
        <w:spacing w:after="0"/>
        <w:ind w:firstLine="640" w:firstLineChars="200"/>
      </w:pPr>
      <w:r>
        <w:rPr>
          <w:rFonts w:hint="eastAsia"/>
        </w:rPr>
        <w:t>支持在科幻后期处理环节搭建共性技术服务平台。鼓励企业面向不同领域共建科幻产业转化及创新平台，支持开发国产自主可控的计算机图形学操作软件相关平台。（责任单位：市科委、中关村管委会，市经济和信息化局，市委宣传部，市广电局，市文化和旅游局）</w:t>
      </w:r>
    </w:p>
    <w:p>
      <w:pPr>
        <w:pStyle w:val="3"/>
        <w:spacing w:after="0"/>
        <w:ind w:firstLine="640" w:firstLineChars="200"/>
      </w:pPr>
      <w:r>
        <w:rPr>
          <w:rFonts w:hint="eastAsia"/>
        </w:rPr>
        <w:t>支持在科幻体验交互环节打造共性技术服务平台。鼓励企业搭建科幻数字内容的</w:t>
      </w:r>
      <w:r>
        <w:t>5G/6G＋8k超高清编解码关键技术创新平台</w:t>
      </w:r>
      <w:r>
        <w:rPr>
          <w:rFonts w:hint="eastAsia"/>
        </w:rPr>
        <w:t>。</w:t>
      </w:r>
      <w:r>
        <w:t>支持建设承载大规模科幻数字内容生成、存储、展示与交易流通平台</w:t>
      </w:r>
      <w:r>
        <w:rPr>
          <w:rFonts w:hint="eastAsia"/>
        </w:rPr>
        <w:t>。</w:t>
      </w:r>
      <w:r>
        <w:t>促进空间计算有关技术转化应用，提升高实时度、低延时性、真3D化、全交互的智能感知与交互体验水平。（责任单位：市科委、中关村管委会</w:t>
      </w:r>
      <w:r>
        <w:rPr>
          <w:rFonts w:hint="eastAsia"/>
        </w:rPr>
        <w:t>，</w:t>
      </w:r>
      <w:r>
        <w:t>市经济和信息化局</w:t>
      </w:r>
      <w:r>
        <w:rPr>
          <w:rFonts w:hint="eastAsia"/>
        </w:rPr>
        <w:t>，石景山区政府</w:t>
      </w:r>
      <w:r>
        <w:t>）</w:t>
      </w:r>
    </w:p>
    <w:p>
      <w:pPr>
        <w:pStyle w:val="4"/>
        <w:spacing w:after="0"/>
        <w:ind w:left="0" w:firstLine="640" w:firstLineChars="200"/>
      </w:pPr>
      <w:bookmarkStart w:id="15" w:name="_Toc164694459"/>
      <w:bookmarkStart w:id="16" w:name="_Toc17431"/>
      <w:r>
        <w:rPr>
          <w:rFonts w:hint="eastAsia"/>
        </w:rPr>
        <w:t>推动科幻国际交流，促进科幻作品出海</w:t>
      </w:r>
    </w:p>
    <w:p>
      <w:pPr>
        <w:pStyle w:val="3"/>
        <w:spacing w:after="0"/>
        <w:ind w:firstLine="640" w:firstLineChars="200"/>
      </w:pPr>
      <w:r>
        <w:rPr>
          <w:rFonts w:hint="eastAsia"/>
        </w:rPr>
        <w:t>提升中国科幻大会国际影响力。高水平举办中国科幻大会，提升科技办会水平，探讨市场化办会模式。发挥中关村论坛等国家级平台作用，邀请国际科幻大师、全球知名科学家、领军企业家参与。与国外知名科幻机构</w:t>
      </w:r>
      <w:r>
        <w:t>建立合作关系，</w:t>
      </w:r>
      <w:r>
        <w:rPr>
          <w:rFonts w:hint="eastAsia"/>
        </w:rPr>
        <w:t>合作</w:t>
      </w:r>
      <w:r>
        <w:t>举办国际科幻论坛</w:t>
      </w:r>
      <w:r>
        <w:rPr>
          <w:rFonts w:hint="eastAsia"/>
        </w:rPr>
        <w:t>等分项活动。将中国科幻大会打造成为科幻作品首发平台、科幻人才交流平台、科幻产业促进平台。进一步拓展宣传渠道，深化打造国际科幻交流合作的“国家级平台”，常态化举办系列活动，打造“永不落幕的中国科幻大会”。（责任单位：市科委、中关村管委会，市委宣传部，市科协，石景山区政府，首钢集团）</w:t>
      </w:r>
    </w:p>
    <w:p>
      <w:pPr>
        <w:pStyle w:val="3"/>
        <w:spacing w:after="0"/>
        <w:ind w:firstLine="640" w:firstLineChars="200"/>
      </w:pPr>
      <w:r>
        <w:rPr>
          <w:rFonts w:hint="eastAsia"/>
        </w:rPr>
        <w:t>提高“科幻星球奖”国际化水平。围绕科幻技术、科幻文学和科幻作品等方面，推出一批优秀科幻创作、产品和人物。邀请国际知名科幻专家参与评审，扩大奖项奖励，优化评选方式，吸引更多国内外企业、人才参奖。与国际出版机构合作，推动获奖作品全球发行，提升奖项国内国际影响力，打造国内首个民间科幻国际综合奖项。</w:t>
      </w:r>
      <w:bookmarkStart w:id="17" w:name="_Hlk171071193"/>
      <w:r>
        <w:rPr>
          <w:rFonts w:hint="eastAsia"/>
        </w:rPr>
        <w:t>（责任单位：市广播电视局，市科委、中关村管委会，市委宣传部，石景山区政府，市科协，首钢集团）</w:t>
      </w:r>
    </w:p>
    <w:bookmarkEnd w:id="17"/>
    <w:p>
      <w:pPr>
        <w:pStyle w:val="3"/>
        <w:spacing w:after="0"/>
        <w:ind w:firstLine="640" w:firstLineChars="200"/>
      </w:pPr>
      <w:r>
        <w:rPr>
          <w:rFonts w:hint="eastAsia"/>
        </w:rPr>
        <w:t>开展科幻主题国际交流活动。深入开展“全球科幻开发者大会”等国际科幻科技交流活动，增进国内外科幻领域技术交流，推动引入国外先进科技成果和创新理念。开展国际科幻创作沙龙活动，邀请全球知名科幻作家、导演、编剧等科幻创作领域专家参与，分享科幻创作经验，促进科幻创作领域国际交流与合作。（责任单位：相关区政府，市委宣传部，市科协）</w:t>
      </w:r>
    </w:p>
    <w:p>
      <w:pPr>
        <w:pStyle w:val="3"/>
        <w:spacing w:after="0"/>
        <w:ind w:firstLine="640" w:firstLineChars="200"/>
      </w:pPr>
      <w:r>
        <w:rPr>
          <w:rFonts w:hint="eastAsia"/>
        </w:rPr>
        <w:t>助力国内优秀科幻作品跨国推广。充分发挥联合国教科文组织国际创意可持续发展中心等国际渠道作用，挖掘以科幻为代表的文化科技融合领域优秀案例，推动国内优质科幻作品“走出去”。与国际知名科幻组织、出版社、影视公司等建立合作关系，加强优质科幻作品全球推介，通过国际知名数字出版平台，</w:t>
      </w:r>
      <w:r>
        <w:t>推广和销售中国科幻电子书，扩大读者群体</w:t>
      </w:r>
      <w:r>
        <w:rPr>
          <w:rFonts w:hint="eastAsia"/>
        </w:rPr>
        <w:t>；与国际流媒体平台</w:t>
      </w:r>
      <w:r>
        <w:t>合作，推动中国科幻影视作品上线，扩大国际观众覆盖面。</w:t>
      </w:r>
      <w:r>
        <w:rPr>
          <w:rFonts w:hint="eastAsia"/>
        </w:rPr>
        <w:t>助力国产科幻书籍、影视参加国际书展及电影节，依托各类影视活动平台邀请全球影视发行主体，拓展国产科幻影视全球市场。（责任单位：市科协，市科委、中关村管委会，市委宣传部）</w:t>
      </w:r>
    </w:p>
    <w:p>
      <w:pPr>
        <w:pStyle w:val="3"/>
        <w:spacing w:after="0"/>
        <w:ind w:firstLine="640" w:firstLineChars="200"/>
      </w:pPr>
      <w:r>
        <w:rPr>
          <w:rFonts w:hint="eastAsia"/>
        </w:rPr>
        <w:t>推动科幻影视与相关技术国际合作。</w:t>
      </w:r>
      <w:bookmarkStart w:id="18" w:name="_Hlk172036254"/>
      <w:r>
        <w:rPr>
          <w:rFonts w:hint="eastAsia"/>
        </w:rPr>
        <w:t>支持与国外科幻影视制作公司合作，开展联合制作和发行，共同开发具有国际市场潜力的科幻影视作品。</w:t>
      </w:r>
      <w:bookmarkEnd w:id="18"/>
      <w:r>
        <w:rPr>
          <w:rFonts w:hint="eastAsia"/>
        </w:rPr>
        <w:t>鼓励与国际顶尖科技公司和研究机构合作，开展科幻相关技术和应用的联合研发，推动科幻作品的技术创新和应用升级。（责任单位：市科委、中关村管委会，市委宣传部）</w:t>
      </w:r>
    </w:p>
    <w:p>
      <w:pPr>
        <w:pStyle w:val="3"/>
        <w:spacing w:after="0"/>
        <w:ind w:firstLine="640" w:firstLineChars="200"/>
      </w:pPr>
      <w:r>
        <w:rPr>
          <w:rFonts w:hint="eastAsia"/>
        </w:rPr>
        <w:t>培育科幻领域国际化人才。推出科幻人才国际交流计划，支持科幻作家、导演、编剧等赴海外进行学习、交流和创作，提升国际视野和创作水平。开展国际科幻培训项目，引进国外优秀科幻创作、制作和发行专家，开展培训和讲座，提升本土科幻人才的国际竞争力。（责任单位：市人才工作局，市科协，市教委，市委宣传部）</w:t>
      </w:r>
    </w:p>
    <w:p>
      <w:pPr>
        <w:pStyle w:val="4"/>
        <w:spacing w:after="0"/>
        <w:ind w:left="0" w:firstLine="640" w:firstLineChars="200"/>
      </w:pPr>
      <w:r>
        <w:rPr>
          <w:rFonts w:hint="eastAsia"/>
        </w:rPr>
        <w:t>厚植科幻产业生态，营造一流发展环境</w:t>
      </w:r>
      <w:bookmarkEnd w:id="15"/>
      <w:bookmarkEnd w:id="16"/>
    </w:p>
    <w:p>
      <w:pPr>
        <w:pStyle w:val="3"/>
        <w:spacing w:after="0"/>
        <w:ind w:firstLine="640" w:firstLineChars="200"/>
        <w:rPr>
          <w:rFonts w:hint="eastAsia" w:hAnsi="宋体" w:cs="宋体"/>
        </w:rPr>
      </w:pPr>
      <w:r>
        <w:rPr>
          <w:rFonts w:hint="eastAsia"/>
        </w:rPr>
        <w:t>优化科幻产业营商环境。开辟科幻电影行政审批绿色通道，加快首都科幻文化产品供给。</w:t>
      </w:r>
      <w:r>
        <w:rPr>
          <w:rFonts w:hint="eastAsia" w:hAnsi="宋体" w:cs="宋体"/>
        </w:rPr>
        <w:t>在科幻影视制作及发布聚集区域，设立影视相关的审批政务服务大厅，为科幻影视产业提供便利化的政务服务。鼓励科幻题材游戏出版。（责任单位：市委宣传部，市广播电视局</w:t>
      </w:r>
      <w:r>
        <w:rPr>
          <w:rFonts w:hint="eastAsia" w:hAnsi="宋体" w:cs="宋体"/>
          <w:lang w:eastAsia="zh-CN"/>
        </w:rPr>
        <w:t>，市政务服务局</w:t>
      </w:r>
      <w:r>
        <w:rPr>
          <w:rFonts w:hint="eastAsia" w:hAnsi="宋体" w:cs="宋体"/>
        </w:rPr>
        <w:t>）</w:t>
      </w:r>
    </w:p>
    <w:p>
      <w:pPr>
        <w:pStyle w:val="3"/>
        <w:spacing w:after="0"/>
        <w:ind w:firstLine="640" w:firstLineChars="200"/>
      </w:pPr>
      <w:r>
        <w:rPr>
          <w:rFonts w:hint="eastAsia"/>
        </w:rPr>
        <w:t>搭建各类科幻主题交流社区。</w:t>
      </w:r>
      <w:r>
        <w:t>支持搭建线上科幻创作</w:t>
      </w:r>
      <w:r>
        <w:rPr>
          <w:rFonts w:hint="eastAsia"/>
        </w:rPr>
        <w:t>社区</w:t>
      </w:r>
      <w:r>
        <w:t>，每年举办3-4场线上科幻作品征集和评选活动，选拔优秀科幻IP进行推广。</w:t>
      </w:r>
      <w:r>
        <w:rPr>
          <w:rFonts w:hint="eastAsia"/>
        </w:rPr>
        <w:t>打造硬科幻交流社区，为科幻创作人员、科技工作者、科幻运营人员提供交流平台，同步最新科学技术发展情况，加强科幻爱好者与专业人士的互动。持续</w:t>
      </w:r>
      <w:r>
        <w:t>支持科幻大师及科幻内容团队在科幻产业集聚区落地成立工作室，提供高效专业服务。发掘优秀科幻内容创作者和优质科幻影视项目，邀约投资机构、制片方、技术支持方、科幻</w:t>
      </w:r>
      <w:r>
        <w:rPr>
          <w:rFonts w:hint="eastAsia"/>
        </w:rPr>
        <w:t>影视</w:t>
      </w:r>
      <w:r>
        <w:t>创作人才、</w:t>
      </w:r>
      <w:r>
        <w:rPr>
          <w:rFonts w:hint="eastAsia"/>
        </w:rPr>
        <w:t>影视</w:t>
      </w:r>
      <w:r>
        <w:t>从业者等参与并对接投资。（责任单位：石景山区政府，市委宣传部，市科协，首钢集团</w:t>
      </w:r>
      <w:r>
        <w:rPr>
          <w:rFonts w:hint="eastAsia"/>
        </w:rPr>
        <w:t>，市科委、中关村管委会</w:t>
      </w:r>
      <w:r>
        <w:t>）</w:t>
      </w:r>
    </w:p>
    <w:p>
      <w:pPr>
        <w:pStyle w:val="3"/>
        <w:spacing w:after="0"/>
        <w:ind w:firstLine="640" w:firstLineChars="200"/>
      </w:pPr>
      <w:r>
        <w:rPr>
          <w:rFonts w:hint="eastAsia"/>
        </w:rPr>
        <w:t>推进科幻相关社会组织建设。推动成立北京市科幻产业行业组织，整合专家资源，搭建合作平台，指导全市各科幻相关社会团体发展运营，促进科幻文化传播和产业发展。强化高校科幻联盟建设，促进学术资源与科幻创作的深度融合，为科幻产业发展培养创新型人才。依托“走进科幻产业联合体”等活动，围绕科幻产业政策、市场开拓、技术研发、场景应用等开展多维度交流合作。（责任单位：市科协，市委宣传部，市广播电视局，市教委，石景山区政府，首钢集团）</w:t>
      </w:r>
    </w:p>
    <w:p>
      <w:pPr>
        <w:pStyle w:val="3"/>
        <w:spacing w:after="0"/>
        <w:ind w:firstLine="640" w:firstLineChars="200"/>
      </w:pPr>
      <w:r>
        <w:t>强化科幻标杆孵化器引领作用。支持中关村科幻产业创新中心</w:t>
      </w:r>
      <w:r>
        <w:rPr>
          <w:rFonts w:hint="eastAsia"/>
        </w:rPr>
        <w:t>、朝阳区AIGC视听产业创新中心等</w:t>
      </w:r>
      <w:r>
        <w:t>专业特色园区、孵化器开展与国家实验室、新型研发机构、重点企业等创新主体合作，建设概念验证和小试平台，孵育硬科幻创业项目。面向科幻沉浸式互动体验需求，打造国际硬科幻创作基地、北京国际科幻会客厅、</w:t>
      </w:r>
      <w:r>
        <w:rPr>
          <w:rFonts w:hint="eastAsia"/>
        </w:rPr>
        <w:t>北京</w:t>
      </w:r>
      <w:r>
        <w:t>科幻</w:t>
      </w:r>
      <w:r>
        <w:rPr>
          <w:rFonts w:hint="eastAsia"/>
        </w:rPr>
        <w:t>创新成果展示</w:t>
      </w:r>
      <w:r>
        <w:t>中心等展示交流平台。</w:t>
      </w:r>
      <w:r>
        <w:rPr>
          <w:rFonts w:hint="eastAsia"/>
        </w:rPr>
        <w:t>（责任单位：市科委、中关村管委会，市经济和信息化局，相关区政府）</w:t>
      </w:r>
    </w:p>
    <w:p>
      <w:pPr>
        <w:pStyle w:val="3"/>
        <w:spacing w:after="0"/>
        <w:ind w:firstLine="640" w:firstLineChars="200"/>
      </w:pPr>
      <w:r>
        <w:rPr>
          <w:rFonts w:hint="eastAsia"/>
        </w:rPr>
        <w:t>推动科幻消费提质升级。支持科幻体验馆、科幻主题公园等新型文化消费业态发展，打造沉浸式科幻体验消费场所。鼓励开发科幻衍生品，推动科幻</w:t>
      </w:r>
      <w:r>
        <w:t>IP与文创产品、旅游纪念品等跨界融合。举办科幻电影展映、科幻文学周等主题活动，培育科幻消费群体。引导传统商业综合体增加科幻元素，营造浓厚的科幻</w:t>
      </w:r>
      <w:r>
        <w:rPr>
          <w:rFonts w:hint="eastAsia"/>
        </w:rPr>
        <w:t>消费</w:t>
      </w:r>
      <w:r>
        <w:t>氛围。（责任单位：市文化和旅游局，市商务局，市委宣传部，相关区政府）</w:t>
      </w:r>
    </w:p>
    <w:p>
      <w:pPr>
        <w:pStyle w:val="3"/>
        <w:spacing w:after="0"/>
        <w:ind w:firstLine="640" w:firstLineChars="200"/>
      </w:pPr>
      <w:r>
        <w:rPr>
          <w:rFonts w:hint="eastAsia"/>
        </w:rPr>
        <w:t>加强科幻知识产权保护与管理。建立健全科幻作品登记、审查、保护机制，严厉打击侵权行为。依托知识产权公共服务区中心及工作站</w:t>
      </w:r>
      <w:r>
        <w:rPr>
          <w:rFonts w:hint="eastAsia"/>
          <w:lang w:eastAsia="zh-CN"/>
        </w:rPr>
        <w:t>，</w:t>
      </w:r>
      <w:r>
        <w:rPr>
          <w:rFonts w:hint="eastAsia"/>
        </w:rPr>
        <w:t>为科幻领域开展全链条知识产权公共服务，培育科幻领域高价值高质量专利。（责任单位：市知识产权局，市委宣传部，市市场监管局）</w:t>
      </w:r>
    </w:p>
    <w:p>
      <w:pPr>
        <w:pStyle w:val="2"/>
        <w:spacing w:after="0"/>
        <w:ind w:firstLineChars="200"/>
      </w:pPr>
      <w:bookmarkStart w:id="19" w:name="_Toc156836814"/>
      <w:r>
        <w:rPr>
          <w:rFonts w:hint="eastAsia"/>
        </w:rPr>
        <w:t>保障措施</w:t>
      </w:r>
      <w:bookmarkEnd w:id="19"/>
    </w:p>
    <w:bookmarkEnd w:id="0"/>
    <w:p>
      <w:pPr>
        <w:pStyle w:val="4"/>
        <w:numPr>
          <w:ilvl w:val="0"/>
          <w:numId w:val="4"/>
        </w:numPr>
        <w:spacing w:after="0"/>
        <w:ind w:left="0" w:firstLine="640" w:firstLineChars="200"/>
      </w:pPr>
      <w:bookmarkStart w:id="20" w:name="_Toc156836815"/>
      <w:r>
        <w:rPr>
          <w:rFonts w:hint="eastAsia"/>
        </w:rPr>
        <w:t>加强机制保障</w:t>
      </w:r>
      <w:bookmarkEnd w:id="20"/>
    </w:p>
    <w:p>
      <w:pPr>
        <w:spacing w:after="0"/>
        <w:ind w:firstLine="640"/>
      </w:pPr>
      <w:r>
        <w:rPr>
          <w:rFonts w:hint="eastAsia"/>
        </w:rPr>
        <w:t>积极对接中国科协等国家部委，强化部市区合作，争取国家级项目在京布局和建设。持续完善由分管科技工作的副市长担任召集人、</w:t>
      </w:r>
      <w:r>
        <w:rPr>
          <w:rFonts w:hint="eastAsia"/>
          <w:lang w:val="zh-TW"/>
        </w:rPr>
        <w:t>联系科技工作的副秘书长担任副召集人，相关政府部门参与</w:t>
      </w:r>
      <w:r>
        <w:rPr>
          <w:rFonts w:hint="eastAsia"/>
        </w:rPr>
        <w:t>的市级工作调度机制，加强统筹协调，推进工作落实落细。</w:t>
      </w:r>
    </w:p>
    <w:p>
      <w:pPr>
        <w:pStyle w:val="4"/>
        <w:spacing w:after="0"/>
        <w:ind w:left="0" w:firstLine="640" w:firstLineChars="200"/>
      </w:pPr>
      <w:r>
        <w:rPr>
          <w:rFonts w:hint="eastAsia"/>
        </w:rPr>
        <w:t>强化政策支持</w:t>
      </w:r>
    </w:p>
    <w:p>
      <w:pPr>
        <w:spacing w:after="0"/>
        <w:ind w:firstLine="640"/>
        <w:rPr>
          <w:rFonts w:eastAsia="等线"/>
        </w:rPr>
      </w:pPr>
      <w:r>
        <w:rPr>
          <w:rFonts w:hint="eastAsia"/>
        </w:rPr>
        <w:t>围绕科幻产业发展需求，完善产业支持政策，统筹支持科幻内容创作、技术创新应用、平台建设、企业培育、场景搭建等。发挥市区两级政策合力，通过定向组织、揭榜挂帅，以项目化、任务化方式支持科幻领域产业发展。</w:t>
      </w:r>
    </w:p>
    <w:p>
      <w:pPr>
        <w:pStyle w:val="4"/>
        <w:spacing w:after="0"/>
        <w:ind w:left="0" w:firstLine="640" w:firstLineChars="200"/>
      </w:pPr>
      <w:r>
        <w:rPr>
          <w:rFonts w:hint="eastAsia"/>
        </w:rPr>
        <w:t>做好资金保障</w:t>
      </w:r>
    </w:p>
    <w:p>
      <w:pPr>
        <w:spacing w:after="0"/>
        <w:ind w:firstLine="640"/>
      </w:pPr>
      <w:r>
        <w:rPr>
          <w:rFonts w:hint="eastAsia"/>
        </w:rPr>
        <w:t>加大财政支持力度，持续做好人才服务、课题研究、重大项目落地、孵化器建设以及科幻技术创新应用等相关的资金保障。加快实施对重点科幻IP转化项目阶段性的支持政策。“一核多点”相关各区加大对本区域科幻产业的财政支持力度。</w:t>
      </w:r>
    </w:p>
    <w:p>
      <w:pPr>
        <w:pStyle w:val="4"/>
        <w:spacing w:after="0"/>
        <w:ind w:left="0" w:firstLine="640" w:firstLineChars="200"/>
      </w:pPr>
      <w:r>
        <w:rPr>
          <w:rFonts w:hint="eastAsia"/>
        </w:rPr>
        <w:t>完善统计支撑</w:t>
      </w:r>
    </w:p>
    <w:p>
      <w:pPr>
        <w:spacing w:after="0"/>
        <w:ind w:firstLine="640"/>
      </w:pPr>
      <w:r>
        <w:rPr>
          <w:rFonts w:hint="eastAsia"/>
        </w:rPr>
        <w:t>梳理科幻产业要素，开展科幻产业标准制定。建立健全科幻产业统计分析系统，编制科幻企业名录，在企业经营、技术创新、经济贡献、人才培养等多个维度开展统计分析。编制发布《北京市科幻产业研究报告》，规范数据发布，加强数据解读，全面反映北京市和重点区域科幻产业发展情况及趋势。</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CESI黑体-GB13000">
    <w:panose1 w:val="02000500000000000000"/>
    <w:charset w:val="86"/>
    <w:family w:val="auto"/>
    <w:pitch w:val="default"/>
    <w:sig w:usb0="800002BF" w:usb1="38CF7CF8" w:usb2="00000016" w:usb3="00000000" w:csb0="0004000F" w:csb1="00000000"/>
  </w:font>
  <w:font w:name="PMingLiU">
    <w:altName w:val="Noto Sans CJK SC"/>
    <w:panose1 w:val="02010601000101010101"/>
    <w:charset w:val="88"/>
    <w:family w:val="roma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等线">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rFonts w:hint="eastAsia"/>
      </w:rPr>
      <w:fldChar w:fldCharType="begin"/>
    </w:r>
    <w:r>
      <w:rPr>
        <w:rFonts w:hint="eastAsia"/>
      </w:rPr>
      <w:instrText xml:space="preserve">PAGE   \* MERGEFORMAT</w:instrText>
    </w:r>
    <w:r>
      <w:rPr>
        <w:rFonts w:hint="eastAsia"/>
      </w:rPr>
      <w:fldChar w:fldCharType="separate"/>
    </w:r>
    <w:r>
      <w:rPr>
        <w:lang w:val="zh-CN"/>
      </w:rPr>
      <w:t>-</w:t>
    </w:r>
    <w:r>
      <w:t xml:space="preserve"> 14 -</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line="240" w:lineRule="auto"/>
        <w:ind w:firstLine="640"/>
      </w:pPr>
      <w:r>
        <w:separator/>
      </w:r>
    </w:p>
  </w:footnote>
  <w:footnote w:type="continuationSeparator" w:id="11">
    <w:p>
      <w:pPr>
        <w:spacing w:line="240" w:lineRule="auto"/>
        <w:ind w:firstLine="640"/>
      </w:pPr>
      <w:r>
        <w:continuationSeparator/>
      </w:r>
    </w:p>
  </w:footnote>
  <w:footnote w:id="0">
    <w:p>
      <w:pPr>
        <w:pStyle w:val="42"/>
        <w:spacing w:before="93"/>
        <w:ind w:firstLine="482"/>
      </w:pPr>
      <w:r>
        <w:rPr>
          <w:rStyle w:val="18"/>
          <w:b/>
          <w:bCs/>
          <w:szCs w:val="24"/>
        </w:rPr>
        <w:footnoteRef/>
      </w:r>
      <w:r>
        <w:rPr>
          <w:rFonts w:hint="eastAsia"/>
        </w:rPr>
        <w:t xml:space="preserve"> 本行动计划中“科幻重点领域”界定为：由科幻</w:t>
      </w:r>
      <w:r>
        <w:t>IP赋能主流文化产业形成的科幻</w:t>
      </w:r>
      <w:r>
        <w:rPr>
          <w:rFonts w:hint="eastAsia"/>
        </w:rPr>
        <w:t>阅读</w:t>
      </w:r>
      <w:r>
        <w:t>、科幻影视</w:t>
      </w:r>
      <w:r>
        <w:rPr>
          <w:rFonts w:hint="eastAsia"/>
        </w:rPr>
        <w:t>（</w:t>
      </w:r>
      <w:r>
        <w:t>动漫</w:t>
      </w:r>
      <w:r>
        <w:rPr>
          <w:rFonts w:hint="eastAsia"/>
        </w:rPr>
        <w:t>）</w:t>
      </w:r>
      <w:r>
        <w:t>、科幻游戏、科幻文旅等“科幻＋”融合产业，</w:t>
      </w:r>
      <w:r>
        <w:rPr>
          <w:rFonts w:hint="eastAsia"/>
        </w:rPr>
        <w:t>以及为以上“科幻</w:t>
      </w:r>
      <w:r>
        <w:t>＋”产业提供服务的</w:t>
      </w:r>
      <w:r>
        <w:rPr>
          <w:rFonts w:hint="eastAsia"/>
        </w:rPr>
        <w:t>科幻</w:t>
      </w:r>
      <w:r>
        <w:t>IP运营、宣传发行、教育培训等科幻</w:t>
      </w:r>
      <w:r>
        <w:rPr>
          <w:rFonts w:hint="eastAsia"/>
        </w:rPr>
        <w:t>运营服务产业</w:t>
      </w:r>
      <w:r>
        <w:t>，</w:t>
      </w:r>
      <w:r>
        <w:rPr>
          <w:rFonts w:hint="eastAsia"/>
        </w:rPr>
        <w:t>同时涵盖</w:t>
      </w:r>
      <w:r>
        <w:t>为</w:t>
      </w:r>
      <w:r>
        <w:rPr>
          <w:rFonts w:hint="eastAsia"/>
        </w:rPr>
        <w:t>科幻产品</w:t>
      </w:r>
      <w:r>
        <w:t>提供技术支撑的虚拟现实、人工智能</w:t>
      </w:r>
      <w:r>
        <w:rPr>
          <w:rFonts w:hint="eastAsia"/>
        </w:rPr>
        <w:t>等</w:t>
      </w:r>
      <w:r>
        <w:t>科幻装备</w:t>
      </w:r>
      <w:r>
        <w:rPr>
          <w:rFonts w:hint="eastAsia"/>
        </w:rPr>
        <w:t>研发与</w:t>
      </w:r>
      <w:r>
        <w:t>制造产业。</w:t>
      </w:r>
    </w:p>
  </w:footnote>
  <w:footnote w:id="1">
    <w:p>
      <w:pPr>
        <w:pStyle w:val="42"/>
        <w:spacing w:before="93"/>
        <w:ind w:firstLine="482"/>
        <w:rPr>
          <w:color w:val="auto"/>
        </w:rPr>
      </w:pPr>
      <w:r>
        <w:rPr>
          <w:rStyle w:val="18"/>
          <w:b/>
          <w:bCs/>
        </w:rPr>
        <w:footnoteRef/>
      </w:r>
      <w:r>
        <w:t xml:space="preserve"> </w:t>
      </w:r>
      <w:r>
        <w:rPr>
          <w:rFonts w:hint="eastAsia"/>
        </w:rPr>
        <w:t>本行动计划中“科幻龙头企业”界定为：对科幻产业发展具有显著带动作用、能够有效引领大中小企业融通创新的科幻板块年营</w:t>
      </w:r>
      <w:r>
        <w:rPr>
          <w:rFonts w:hint="eastAsia"/>
          <w:color w:val="auto"/>
        </w:rPr>
        <w:t>业收入超过</w:t>
      </w:r>
      <w:r>
        <w:rPr>
          <w:color w:val="auto"/>
        </w:rPr>
        <w:t>5</w:t>
      </w:r>
      <w:r>
        <w:rPr>
          <w:rFonts w:hint="eastAsia"/>
          <w:color w:val="auto"/>
        </w:rPr>
        <w:t>亿</w:t>
      </w:r>
      <w:r>
        <w:rPr>
          <w:color w:val="auto"/>
        </w:rPr>
        <w:t>元的</w:t>
      </w:r>
      <w:r>
        <w:rPr>
          <w:rFonts w:hint="eastAsia"/>
          <w:color w:val="auto"/>
        </w:rPr>
        <w:t>科幻重点领域企业。</w:t>
      </w:r>
    </w:p>
  </w:footnote>
  <w:footnote w:id="2">
    <w:p>
      <w:pPr>
        <w:pStyle w:val="42"/>
        <w:spacing w:before="93"/>
        <w:ind w:firstLine="482"/>
        <w:rPr>
          <w:color w:val="auto"/>
        </w:rPr>
      </w:pPr>
      <w:r>
        <w:rPr>
          <w:rStyle w:val="18"/>
          <w:b/>
          <w:bCs/>
          <w:color w:val="auto"/>
        </w:rPr>
        <w:footnoteRef/>
      </w:r>
      <w:r>
        <w:rPr>
          <w:color w:val="auto"/>
        </w:rPr>
        <w:t xml:space="preserve"> </w:t>
      </w:r>
      <w:r>
        <w:rPr>
          <w:rFonts w:hint="eastAsia"/>
          <w:color w:val="auto"/>
        </w:rPr>
        <w:t>本行动计划中“科幻重点企业”界定为：具有“国家级高新技术企业”“中关村高新技术企业”“专精特新中小企业”等资质中至少一项，且科幻板块年营业收入超过1亿</w:t>
      </w:r>
      <w:r>
        <w:rPr>
          <w:color w:val="auto"/>
        </w:rPr>
        <w:t>元</w:t>
      </w:r>
      <w:r>
        <w:rPr>
          <w:rFonts w:hint="eastAsia"/>
          <w:color w:val="auto"/>
        </w:rPr>
        <w:t>的科幻重点领域企业。</w:t>
      </w:r>
    </w:p>
  </w:footnote>
  <w:footnote w:id="3">
    <w:p>
      <w:pPr>
        <w:pStyle w:val="42"/>
        <w:spacing w:before="93"/>
        <w:ind w:firstLine="482"/>
      </w:pPr>
      <w:r>
        <w:rPr>
          <w:rStyle w:val="18"/>
          <w:b/>
          <w:bCs/>
        </w:rPr>
        <w:footnoteRef/>
      </w:r>
      <w:r>
        <w:t xml:space="preserve"> </w:t>
      </w:r>
      <w:r>
        <w:rPr>
          <w:rFonts w:hint="eastAsia"/>
        </w:rPr>
        <w:t>“科幻</w:t>
      </w:r>
      <w:r>
        <w:t>IP”，即科幻知识产权，是指围绕科幻创意形成的一系列具有独特性、原创性，并能够产生经济价值的原创内容及其衍生权益的总称。科幻IP不仅包含原始创意内容，还涵盖了基于这些创意发展而来的人物、场景、故事背景、科技概念等元素。</w:t>
      </w:r>
    </w:p>
  </w:footnote>
  <w:footnote w:id="4">
    <w:p>
      <w:pPr>
        <w:pStyle w:val="42"/>
        <w:spacing w:before="93"/>
        <w:ind w:firstLine="482"/>
      </w:pPr>
      <w:r>
        <w:rPr>
          <w:rStyle w:val="18"/>
          <w:b/>
          <w:bCs/>
        </w:rPr>
        <w:footnoteRef/>
      </w:r>
      <w:r>
        <w:t xml:space="preserve"> </w:t>
      </w:r>
      <w:r>
        <w:rPr>
          <w:rFonts w:hint="eastAsia"/>
        </w:rPr>
        <w:t>本行动计划中，“科幻人才”界定为在科幻重点领域中具有专业技能、创新能力和显著成就的人员，重点涵盖：科幻阅读领域的知名科幻作家、文学编辑、科幻文学评论家等；科幻影视（动漫）领域的导演、编剧、出品人、影视后期制作人、原画设计师、动画制作师等；科幻游戏领域的游戏策划师、软件架构师等；科幻文旅领域的项目策划师、实施负责人等；科幻技术领域的科幻相关技术与设备研发人员等；科幻服务运营领域的科幻</w:t>
      </w:r>
      <w:r>
        <w:t>IP运营人员、科幻相关研究人员、科幻科普教育工作者等</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B2A13"/>
    <w:multiLevelType w:val="multilevel"/>
    <w:tmpl w:val="2B8B2A13"/>
    <w:lvl w:ilvl="0" w:tentative="0">
      <w:start w:val="1"/>
      <w:numFmt w:val="decimal"/>
      <w:pStyle w:val="3"/>
      <w:suff w:val="space"/>
      <w:lvlText w:val="%1."/>
      <w:lvlJc w:val="left"/>
      <w:pPr>
        <w:ind w:left="777" w:firstLine="6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322B5823"/>
    <w:multiLevelType w:val="multilevel"/>
    <w:tmpl w:val="322B5823"/>
    <w:lvl w:ilvl="0" w:tentative="0">
      <w:start w:val="1"/>
      <w:numFmt w:val="chineseCountingThousand"/>
      <w:pStyle w:val="2"/>
      <w:suff w:val="space"/>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776B0660"/>
    <w:multiLevelType w:val="multilevel"/>
    <w:tmpl w:val="776B0660"/>
    <w:lvl w:ilvl="0" w:tentative="0">
      <w:start w:val="1"/>
      <w:numFmt w:val="chineseCountingThousand"/>
      <w:pStyle w:val="4"/>
      <w:suff w:val="space"/>
      <w:lvlText w:val="(%1)"/>
      <w:lvlJc w:val="left"/>
      <w:pPr>
        <w:ind w:left="1080" w:hanging="440"/>
      </w:pPr>
      <w:rPr>
        <w:rFonts w:hint="eastAsia"/>
        <w:color w:val="auto"/>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noPunctuationKerning w:val="true"/>
  <w:characterSpacingControl w:val="doNotCompress"/>
  <w:footnotePr>
    <w:footnote w:id="10"/>
    <w:footnote w:id="1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NTNiNzFiMTBkYWZlZThjNTNkN2ZmODk0NmJmYmEifQ=="/>
  </w:docVars>
  <w:rsids>
    <w:rsidRoot w:val="00133D9B"/>
    <w:rsid w:val="0000096F"/>
    <w:rsid w:val="00003202"/>
    <w:rsid w:val="000032F5"/>
    <w:rsid w:val="00005FC1"/>
    <w:rsid w:val="00010095"/>
    <w:rsid w:val="00011735"/>
    <w:rsid w:val="00011B22"/>
    <w:rsid w:val="00013720"/>
    <w:rsid w:val="00014BB5"/>
    <w:rsid w:val="00014CA1"/>
    <w:rsid w:val="0002068F"/>
    <w:rsid w:val="00022446"/>
    <w:rsid w:val="00024648"/>
    <w:rsid w:val="00024932"/>
    <w:rsid w:val="00030785"/>
    <w:rsid w:val="0003100A"/>
    <w:rsid w:val="00032446"/>
    <w:rsid w:val="00032BA3"/>
    <w:rsid w:val="00033714"/>
    <w:rsid w:val="000360E2"/>
    <w:rsid w:val="000361D7"/>
    <w:rsid w:val="000364CB"/>
    <w:rsid w:val="00036DA2"/>
    <w:rsid w:val="00037EE4"/>
    <w:rsid w:val="0004076F"/>
    <w:rsid w:val="00040A46"/>
    <w:rsid w:val="00040D52"/>
    <w:rsid w:val="00044CA1"/>
    <w:rsid w:val="00047D3D"/>
    <w:rsid w:val="00057291"/>
    <w:rsid w:val="00060D33"/>
    <w:rsid w:val="0006165D"/>
    <w:rsid w:val="00064F86"/>
    <w:rsid w:val="00065719"/>
    <w:rsid w:val="00070616"/>
    <w:rsid w:val="0007398A"/>
    <w:rsid w:val="00074977"/>
    <w:rsid w:val="000807AA"/>
    <w:rsid w:val="00080B53"/>
    <w:rsid w:val="00080C4B"/>
    <w:rsid w:val="000826B1"/>
    <w:rsid w:val="0008348B"/>
    <w:rsid w:val="00085A97"/>
    <w:rsid w:val="00086E41"/>
    <w:rsid w:val="00087BBB"/>
    <w:rsid w:val="00090EDB"/>
    <w:rsid w:val="000935D4"/>
    <w:rsid w:val="000936C7"/>
    <w:rsid w:val="00094382"/>
    <w:rsid w:val="00096B30"/>
    <w:rsid w:val="000A478A"/>
    <w:rsid w:val="000A5164"/>
    <w:rsid w:val="000A6D9F"/>
    <w:rsid w:val="000B0319"/>
    <w:rsid w:val="000B49A2"/>
    <w:rsid w:val="000B544F"/>
    <w:rsid w:val="000B5A96"/>
    <w:rsid w:val="000B6DD9"/>
    <w:rsid w:val="000C00D9"/>
    <w:rsid w:val="000C171F"/>
    <w:rsid w:val="000C51CA"/>
    <w:rsid w:val="000D12DD"/>
    <w:rsid w:val="000D24B2"/>
    <w:rsid w:val="000E1FE9"/>
    <w:rsid w:val="000E390F"/>
    <w:rsid w:val="000E587A"/>
    <w:rsid w:val="000E7BD0"/>
    <w:rsid w:val="000F10B9"/>
    <w:rsid w:val="000F2AF3"/>
    <w:rsid w:val="000F3689"/>
    <w:rsid w:val="000F49EF"/>
    <w:rsid w:val="000F788C"/>
    <w:rsid w:val="001021FC"/>
    <w:rsid w:val="00102BA0"/>
    <w:rsid w:val="0010333A"/>
    <w:rsid w:val="001055EB"/>
    <w:rsid w:val="0010703E"/>
    <w:rsid w:val="00112476"/>
    <w:rsid w:val="001124F8"/>
    <w:rsid w:val="00117B0B"/>
    <w:rsid w:val="00120405"/>
    <w:rsid w:val="001218FC"/>
    <w:rsid w:val="00124833"/>
    <w:rsid w:val="00125581"/>
    <w:rsid w:val="00130FB0"/>
    <w:rsid w:val="001331DB"/>
    <w:rsid w:val="00133D9B"/>
    <w:rsid w:val="00134A79"/>
    <w:rsid w:val="00135EC8"/>
    <w:rsid w:val="0013656B"/>
    <w:rsid w:val="0013685B"/>
    <w:rsid w:val="00137141"/>
    <w:rsid w:val="0014219C"/>
    <w:rsid w:val="00142A09"/>
    <w:rsid w:val="00150938"/>
    <w:rsid w:val="0015336F"/>
    <w:rsid w:val="00154BDA"/>
    <w:rsid w:val="00160047"/>
    <w:rsid w:val="00162D35"/>
    <w:rsid w:val="001637DC"/>
    <w:rsid w:val="001648CB"/>
    <w:rsid w:val="00166B8C"/>
    <w:rsid w:val="001672EA"/>
    <w:rsid w:val="00167DB3"/>
    <w:rsid w:val="00170210"/>
    <w:rsid w:val="00170E4A"/>
    <w:rsid w:val="00173A5B"/>
    <w:rsid w:val="00173C44"/>
    <w:rsid w:val="00173D41"/>
    <w:rsid w:val="00174656"/>
    <w:rsid w:val="00180221"/>
    <w:rsid w:val="00180CE0"/>
    <w:rsid w:val="00182EBF"/>
    <w:rsid w:val="00183FD5"/>
    <w:rsid w:val="00185A22"/>
    <w:rsid w:val="001869D5"/>
    <w:rsid w:val="001906F7"/>
    <w:rsid w:val="0019087B"/>
    <w:rsid w:val="00190E3E"/>
    <w:rsid w:val="00193A34"/>
    <w:rsid w:val="00194020"/>
    <w:rsid w:val="0019412A"/>
    <w:rsid w:val="001949A2"/>
    <w:rsid w:val="00194E67"/>
    <w:rsid w:val="00196152"/>
    <w:rsid w:val="00197316"/>
    <w:rsid w:val="001A5CFA"/>
    <w:rsid w:val="001A739A"/>
    <w:rsid w:val="001A7416"/>
    <w:rsid w:val="001A7443"/>
    <w:rsid w:val="001A7E18"/>
    <w:rsid w:val="001A7F33"/>
    <w:rsid w:val="001B213B"/>
    <w:rsid w:val="001B3CA1"/>
    <w:rsid w:val="001B45E8"/>
    <w:rsid w:val="001B4E6F"/>
    <w:rsid w:val="001B7E2F"/>
    <w:rsid w:val="001C01BA"/>
    <w:rsid w:val="001C075E"/>
    <w:rsid w:val="001C1331"/>
    <w:rsid w:val="001C1A31"/>
    <w:rsid w:val="001C2071"/>
    <w:rsid w:val="001C40ED"/>
    <w:rsid w:val="001C41F6"/>
    <w:rsid w:val="001C7F65"/>
    <w:rsid w:val="001D12C8"/>
    <w:rsid w:val="001D2177"/>
    <w:rsid w:val="001D22A9"/>
    <w:rsid w:val="001D3EBF"/>
    <w:rsid w:val="001D69BA"/>
    <w:rsid w:val="001D6DD7"/>
    <w:rsid w:val="001E1806"/>
    <w:rsid w:val="001E2400"/>
    <w:rsid w:val="001E2401"/>
    <w:rsid w:val="001E394D"/>
    <w:rsid w:val="001E67DC"/>
    <w:rsid w:val="001F18F4"/>
    <w:rsid w:val="001F191E"/>
    <w:rsid w:val="001F1E3D"/>
    <w:rsid w:val="001F26D4"/>
    <w:rsid w:val="001F2DCB"/>
    <w:rsid w:val="001F3604"/>
    <w:rsid w:val="00202978"/>
    <w:rsid w:val="0020669D"/>
    <w:rsid w:val="00210BA3"/>
    <w:rsid w:val="0021374F"/>
    <w:rsid w:val="00215D41"/>
    <w:rsid w:val="0021689B"/>
    <w:rsid w:val="00217279"/>
    <w:rsid w:val="00222CE6"/>
    <w:rsid w:val="00222FC1"/>
    <w:rsid w:val="00225138"/>
    <w:rsid w:val="002270D8"/>
    <w:rsid w:val="002303C1"/>
    <w:rsid w:val="00230894"/>
    <w:rsid w:val="00231C67"/>
    <w:rsid w:val="00233BE8"/>
    <w:rsid w:val="00234709"/>
    <w:rsid w:val="00235615"/>
    <w:rsid w:val="00235D0F"/>
    <w:rsid w:val="002410C6"/>
    <w:rsid w:val="00241BF2"/>
    <w:rsid w:val="0024300B"/>
    <w:rsid w:val="00246124"/>
    <w:rsid w:val="002462F3"/>
    <w:rsid w:val="002505D2"/>
    <w:rsid w:val="00250961"/>
    <w:rsid w:val="0025193A"/>
    <w:rsid w:val="00257EE0"/>
    <w:rsid w:val="002635AB"/>
    <w:rsid w:val="0026432B"/>
    <w:rsid w:val="00266C6C"/>
    <w:rsid w:val="00267281"/>
    <w:rsid w:val="002716C2"/>
    <w:rsid w:val="00273897"/>
    <w:rsid w:val="00280BFC"/>
    <w:rsid w:val="0028193B"/>
    <w:rsid w:val="00283B66"/>
    <w:rsid w:val="0028773A"/>
    <w:rsid w:val="00287DCA"/>
    <w:rsid w:val="00287F7D"/>
    <w:rsid w:val="002949D1"/>
    <w:rsid w:val="002A2928"/>
    <w:rsid w:val="002A30D8"/>
    <w:rsid w:val="002A3913"/>
    <w:rsid w:val="002A3FA1"/>
    <w:rsid w:val="002A77FA"/>
    <w:rsid w:val="002A7F9A"/>
    <w:rsid w:val="002B323D"/>
    <w:rsid w:val="002B6D80"/>
    <w:rsid w:val="002B747F"/>
    <w:rsid w:val="002C57DF"/>
    <w:rsid w:val="002C5BAE"/>
    <w:rsid w:val="002C63C0"/>
    <w:rsid w:val="002C7601"/>
    <w:rsid w:val="002D2262"/>
    <w:rsid w:val="002D2469"/>
    <w:rsid w:val="002D6DE8"/>
    <w:rsid w:val="002E1993"/>
    <w:rsid w:val="002E51DB"/>
    <w:rsid w:val="002E751A"/>
    <w:rsid w:val="002F409F"/>
    <w:rsid w:val="002F554E"/>
    <w:rsid w:val="002F5FF2"/>
    <w:rsid w:val="00300508"/>
    <w:rsid w:val="003026ED"/>
    <w:rsid w:val="00303FB7"/>
    <w:rsid w:val="00306D4B"/>
    <w:rsid w:val="003075C6"/>
    <w:rsid w:val="0030776D"/>
    <w:rsid w:val="00310579"/>
    <w:rsid w:val="00310800"/>
    <w:rsid w:val="003115A4"/>
    <w:rsid w:val="003168CB"/>
    <w:rsid w:val="00317666"/>
    <w:rsid w:val="00320821"/>
    <w:rsid w:val="0032236C"/>
    <w:rsid w:val="003230A3"/>
    <w:rsid w:val="0032757A"/>
    <w:rsid w:val="00330FE3"/>
    <w:rsid w:val="0033310A"/>
    <w:rsid w:val="0033637A"/>
    <w:rsid w:val="003367D4"/>
    <w:rsid w:val="003370DD"/>
    <w:rsid w:val="00337DC1"/>
    <w:rsid w:val="00340E91"/>
    <w:rsid w:val="00341854"/>
    <w:rsid w:val="0034311F"/>
    <w:rsid w:val="0034354E"/>
    <w:rsid w:val="00344790"/>
    <w:rsid w:val="00344BA4"/>
    <w:rsid w:val="003477D4"/>
    <w:rsid w:val="003518CB"/>
    <w:rsid w:val="00351DB3"/>
    <w:rsid w:val="0035697A"/>
    <w:rsid w:val="0035731C"/>
    <w:rsid w:val="00361894"/>
    <w:rsid w:val="003620BE"/>
    <w:rsid w:val="003622F5"/>
    <w:rsid w:val="00370153"/>
    <w:rsid w:val="003705F5"/>
    <w:rsid w:val="00376E23"/>
    <w:rsid w:val="00377A9E"/>
    <w:rsid w:val="00380CA1"/>
    <w:rsid w:val="00380F40"/>
    <w:rsid w:val="00395522"/>
    <w:rsid w:val="00396DEE"/>
    <w:rsid w:val="003A05C5"/>
    <w:rsid w:val="003A3D9A"/>
    <w:rsid w:val="003A3F87"/>
    <w:rsid w:val="003A6CF1"/>
    <w:rsid w:val="003A7055"/>
    <w:rsid w:val="003B01EB"/>
    <w:rsid w:val="003B3DA4"/>
    <w:rsid w:val="003B3E3A"/>
    <w:rsid w:val="003B3F8A"/>
    <w:rsid w:val="003B668B"/>
    <w:rsid w:val="003C02C9"/>
    <w:rsid w:val="003C0771"/>
    <w:rsid w:val="003C1179"/>
    <w:rsid w:val="003C1854"/>
    <w:rsid w:val="003C424D"/>
    <w:rsid w:val="003C51C2"/>
    <w:rsid w:val="003C57DA"/>
    <w:rsid w:val="003C6F43"/>
    <w:rsid w:val="003D2EFA"/>
    <w:rsid w:val="003D396F"/>
    <w:rsid w:val="003D738F"/>
    <w:rsid w:val="003D74F0"/>
    <w:rsid w:val="003E1DDC"/>
    <w:rsid w:val="003E2981"/>
    <w:rsid w:val="003E4437"/>
    <w:rsid w:val="003E5079"/>
    <w:rsid w:val="003F0709"/>
    <w:rsid w:val="003F1B90"/>
    <w:rsid w:val="003F1E74"/>
    <w:rsid w:val="003F2AA0"/>
    <w:rsid w:val="003F3618"/>
    <w:rsid w:val="003F369E"/>
    <w:rsid w:val="003F399F"/>
    <w:rsid w:val="003F4D3B"/>
    <w:rsid w:val="003F5526"/>
    <w:rsid w:val="003F5EF0"/>
    <w:rsid w:val="003F6D24"/>
    <w:rsid w:val="00400AA8"/>
    <w:rsid w:val="004027C9"/>
    <w:rsid w:val="004041D7"/>
    <w:rsid w:val="004053C3"/>
    <w:rsid w:val="00406796"/>
    <w:rsid w:val="004074A4"/>
    <w:rsid w:val="00411357"/>
    <w:rsid w:val="0041509A"/>
    <w:rsid w:val="0041737A"/>
    <w:rsid w:val="00417808"/>
    <w:rsid w:val="00417B1B"/>
    <w:rsid w:val="00421416"/>
    <w:rsid w:val="004221D4"/>
    <w:rsid w:val="00423132"/>
    <w:rsid w:val="00434A4B"/>
    <w:rsid w:val="00435003"/>
    <w:rsid w:val="004372F2"/>
    <w:rsid w:val="004419BC"/>
    <w:rsid w:val="00442056"/>
    <w:rsid w:val="00442C91"/>
    <w:rsid w:val="00444B69"/>
    <w:rsid w:val="00446D21"/>
    <w:rsid w:val="00450813"/>
    <w:rsid w:val="00453F0B"/>
    <w:rsid w:val="00456B76"/>
    <w:rsid w:val="004576CA"/>
    <w:rsid w:val="00457B55"/>
    <w:rsid w:val="00460EEE"/>
    <w:rsid w:val="00461A00"/>
    <w:rsid w:val="00462473"/>
    <w:rsid w:val="00465D5A"/>
    <w:rsid w:val="00466AEB"/>
    <w:rsid w:val="00466F8E"/>
    <w:rsid w:val="0047536F"/>
    <w:rsid w:val="00475B59"/>
    <w:rsid w:val="0048039E"/>
    <w:rsid w:val="00480ECB"/>
    <w:rsid w:val="00483E09"/>
    <w:rsid w:val="004949A2"/>
    <w:rsid w:val="0049674E"/>
    <w:rsid w:val="004A725D"/>
    <w:rsid w:val="004B1FEB"/>
    <w:rsid w:val="004B2177"/>
    <w:rsid w:val="004B3497"/>
    <w:rsid w:val="004B3AD9"/>
    <w:rsid w:val="004B5039"/>
    <w:rsid w:val="004B5305"/>
    <w:rsid w:val="004B5344"/>
    <w:rsid w:val="004B5F87"/>
    <w:rsid w:val="004B7029"/>
    <w:rsid w:val="004C0F06"/>
    <w:rsid w:val="004C4CD1"/>
    <w:rsid w:val="004C4D05"/>
    <w:rsid w:val="004C5180"/>
    <w:rsid w:val="004C54DD"/>
    <w:rsid w:val="004C6F0F"/>
    <w:rsid w:val="004C764C"/>
    <w:rsid w:val="004D0CF8"/>
    <w:rsid w:val="004D46AA"/>
    <w:rsid w:val="004D5E48"/>
    <w:rsid w:val="004D60FF"/>
    <w:rsid w:val="004D6657"/>
    <w:rsid w:val="004D7547"/>
    <w:rsid w:val="004E2CCC"/>
    <w:rsid w:val="004E31EF"/>
    <w:rsid w:val="004E782E"/>
    <w:rsid w:val="004F0981"/>
    <w:rsid w:val="004F0FA6"/>
    <w:rsid w:val="004F18AF"/>
    <w:rsid w:val="004F1A30"/>
    <w:rsid w:val="0050050A"/>
    <w:rsid w:val="0050141F"/>
    <w:rsid w:val="00501F2B"/>
    <w:rsid w:val="005044FD"/>
    <w:rsid w:val="00506689"/>
    <w:rsid w:val="00514EFC"/>
    <w:rsid w:val="005152F1"/>
    <w:rsid w:val="0051572B"/>
    <w:rsid w:val="00516828"/>
    <w:rsid w:val="0052155B"/>
    <w:rsid w:val="00522184"/>
    <w:rsid w:val="00522602"/>
    <w:rsid w:val="00523637"/>
    <w:rsid w:val="00523B70"/>
    <w:rsid w:val="00526E9C"/>
    <w:rsid w:val="00530521"/>
    <w:rsid w:val="0053482C"/>
    <w:rsid w:val="00535144"/>
    <w:rsid w:val="00535484"/>
    <w:rsid w:val="00535CBC"/>
    <w:rsid w:val="0053760D"/>
    <w:rsid w:val="0054294D"/>
    <w:rsid w:val="00544883"/>
    <w:rsid w:val="00544A2F"/>
    <w:rsid w:val="00544C80"/>
    <w:rsid w:val="00545112"/>
    <w:rsid w:val="0054599B"/>
    <w:rsid w:val="00546357"/>
    <w:rsid w:val="00551C3A"/>
    <w:rsid w:val="005528EC"/>
    <w:rsid w:val="00552A9C"/>
    <w:rsid w:val="00557E39"/>
    <w:rsid w:val="00557F44"/>
    <w:rsid w:val="00562EAF"/>
    <w:rsid w:val="005638A9"/>
    <w:rsid w:val="00564C4F"/>
    <w:rsid w:val="005701CA"/>
    <w:rsid w:val="00571563"/>
    <w:rsid w:val="00571D62"/>
    <w:rsid w:val="00572247"/>
    <w:rsid w:val="005756EF"/>
    <w:rsid w:val="0058136F"/>
    <w:rsid w:val="005821EE"/>
    <w:rsid w:val="005840C5"/>
    <w:rsid w:val="00584498"/>
    <w:rsid w:val="00584A67"/>
    <w:rsid w:val="005854FB"/>
    <w:rsid w:val="00585CE5"/>
    <w:rsid w:val="00590A27"/>
    <w:rsid w:val="00594E1E"/>
    <w:rsid w:val="005978C8"/>
    <w:rsid w:val="00597D7B"/>
    <w:rsid w:val="00597EF1"/>
    <w:rsid w:val="005A401E"/>
    <w:rsid w:val="005A4552"/>
    <w:rsid w:val="005A57D9"/>
    <w:rsid w:val="005A6E37"/>
    <w:rsid w:val="005B2C4B"/>
    <w:rsid w:val="005B5DD7"/>
    <w:rsid w:val="005C0A37"/>
    <w:rsid w:val="005C1963"/>
    <w:rsid w:val="005C19C5"/>
    <w:rsid w:val="005C2785"/>
    <w:rsid w:val="005C5040"/>
    <w:rsid w:val="005C767B"/>
    <w:rsid w:val="005D1AFA"/>
    <w:rsid w:val="005D2474"/>
    <w:rsid w:val="005D3016"/>
    <w:rsid w:val="005D35DA"/>
    <w:rsid w:val="005D437A"/>
    <w:rsid w:val="005D5716"/>
    <w:rsid w:val="005D5AA6"/>
    <w:rsid w:val="005D61EB"/>
    <w:rsid w:val="005D6F5F"/>
    <w:rsid w:val="005E084E"/>
    <w:rsid w:val="005E4F99"/>
    <w:rsid w:val="005E67F3"/>
    <w:rsid w:val="005F2422"/>
    <w:rsid w:val="005F391C"/>
    <w:rsid w:val="005F7D7F"/>
    <w:rsid w:val="00602507"/>
    <w:rsid w:val="00602DFF"/>
    <w:rsid w:val="0060485B"/>
    <w:rsid w:val="006127AA"/>
    <w:rsid w:val="00615081"/>
    <w:rsid w:val="006153B9"/>
    <w:rsid w:val="00615F1E"/>
    <w:rsid w:val="00617102"/>
    <w:rsid w:val="006176A6"/>
    <w:rsid w:val="00617AB6"/>
    <w:rsid w:val="006200D9"/>
    <w:rsid w:val="00621B31"/>
    <w:rsid w:val="006229B4"/>
    <w:rsid w:val="00627A04"/>
    <w:rsid w:val="00630F27"/>
    <w:rsid w:val="00633848"/>
    <w:rsid w:val="00633A68"/>
    <w:rsid w:val="00635B96"/>
    <w:rsid w:val="0063691B"/>
    <w:rsid w:val="0064258F"/>
    <w:rsid w:val="00642B46"/>
    <w:rsid w:val="006452C8"/>
    <w:rsid w:val="0064596C"/>
    <w:rsid w:val="00647B2A"/>
    <w:rsid w:val="00650DB2"/>
    <w:rsid w:val="006562CF"/>
    <w:rsid w:val="006646CF"/>
    <w:rsid w:val="00667452"/>
    <w:rsid w:val="00670731"/>
    <w:rsid w:val="006728AF"/>
    <w:rsid w:val="00673B2B"/>
    <w:rsid w:val="0067583F"/>
    <w:rsid w:val="00676195"/>
    <w:rsid w:val="006842A0"/>
    <w:rsid w:val="006855CE"/>
    <w:rsid w:val="006861D3"/>
    <w:rsid w:val="00687990"/>
    <w:rsid w:val="00690AF2"/>
    <w:rsid w:val="006952D3"/>
    <w:rsid w:val="00696BD3"/>
    <w:rsid w:val="006977BB"/>
    <w:rsid w:val="006A06E1"/>
    <w:rsid w:val="006A1926"/>
    <w:rsid w:val="006A1AE0"/>
    <w:rsid w:val="006A235A"/>
    <w:rsid w:val="006A2699"/>
    <w:rsid w:val="006A585D"/>
    <w:rsid w:val="006A6239"/>
    <w:rsid w:val="006B012C"/>
    <w:rsid w:val="006B0216"/>
    <w:rsid w:val="006B1FC5"/>
    <w:rsid w:val="006B311B"/>
    <w:rsid w:val="006B3572"/>
    <w:rsid w:val="006B3F41"/>
    <w:rsid w:val="006B689F"/>
    <w:rsid w:val="006C0E36"/>
    <w:rsid w:val="006C1341"/>
    <w:rsid w:val="006C289A"/>
    <w:rsid w:val="006C4301"/>
    <w:rsid w:val="006C5ECF"/>
    <w:rsid w:val="006C665D"/>
    <w:rsid w:val="006D0FC8"/>
    <w:rsid w:val="006D136D"/>
    <w:rsid w:val="006D24D9"/>
    <w:rsid w:val="006D2E25"/>
    <w:rsid w:val="006D3548"/>
    <w:rsid w:val="006D484C"/>
    <w:rsid w:val="006D7C62"/>
    <w:rsid w:val="006E25D6"/>
    <w:rsid w:val="006E2DE0"/>
    <w:rsid w:val="006E3C00"/>
    <w:rsid w:val="006F1B98"/>
    <w:rsid w:val="006F2BB8"/>
    <w:rsid w:val="006F44A3"/>
    <w:rsid w:val="006F539F"/>
    <w:rsid w:val="006F59CC"/>
    <w:rsid w:val="006F71EC"/>
    <w:rsid w:val="00701FBE"/>
    <w:rsid w:val="00705236"/>
    <w:rsid w:val="0070577E"/>
    <w:rsid w:val="00710A0C"/>
    <w:rsid w:val="007123EB"/>
    <w:rsid w:val="007133B6"/>
    <w:rsid w:val="00714036"/>
    <w:rsid w:val="0071539B"/>
    <w:rsid w:val="00715A89"/>
    <w:rsid w:val="00715EE6"/>
    <w:rsid w:val="00717B31"/>
    <w:rsid w:val="00717C5C"/>
    <w:rsid w:val="0072012C"/>
    <w:rsid w:val="00721398"/>
    <w:rsid w:val="00722126"/>
    <w:rsid w:val="00725116"/>
    <w:rsid w:val="00725925"/>
    <w:rsid w:val="00730970"/>
    <w:rsid w:val="007354EC"/>
    <w:rsid w:val="00736A30"/>
    <w:rsid w:val="00736BFE"/>
    <w:rsid w:val="00742607"/>
    <w:rsid w:val="00744D7C"/>
    <w:rsid w:val="00745914"/>
    <w:rsid w:val="0074675B"/>
    <w:rsid w:val="0074786D"/>
    <w:rsid w:val="00751CEA"/>
    <w:rsid w:val="00753069"/>
    <w:rsid w:val="0075390A"/>
    <w:rsid w:val="0075418A"/>
    <w:rsid w:val="00754E88"/>
    <w:rsid w:val="00756AEC"/>
    <w:rsid w:val="00756E3D"/>
    <w:rsid w:val="0075734F"/>
    <w:rsid w:val="0076155D"/>
    <w:rsid w:val="00762AB0"/>
    <w:rsid w:val="00763AB6"/>
    <w:rsid w:val="00766C00"/>
    <w:rsid w:val="007703C7"/>
    <w:rsid w:val="00770BD2"/>
    <w:rsid w:val="00771764"/>
    <w:rsid w:val="007723B0"/>
    <w:rsid w:val="007726D3"/>
    <w:rsid w:val="0077378C"/>
    <w:rsid w:val="0077750E"/>
    <w:rsid w:val="00777B97"/>
    <w:rsid w:val="0078114A"/>
    <w:rsid w:val="0078180E"/>
    <w:rsid w:val="00782688"/>
    <w:rsid w:val="00787AC5"/>
    <w:rsid w:val="007906A3"/>
    <w:rsid w:val="007919E6"/>
    <w:rsid w:val="007948E8"/>
    <w:rsid w:val="0079785B"/>
    <w:rsid w:val="00797EB4"/>
    <w:rsid w:val="007A2B83"/>
    <w:rsid w:val="007A2D80"/>
    <w:rsid w:val="007A3AC5"/>
    <w:rsid w:val="007A4BD5"/>
    <w:rsid w:val="007A5397"/>
    <w:rsid w:val="007A5AA6"/>
    <w:rsid w:val="007A6879"/>
    <w:rsid w:val="007B2651"/>
    <w:rsid w:val="007B673D"/>
    <w:rsid w:val="007C3C4D"/>
    <w:rsid w:val="007C3D18"/>
    <w:rsid w:val="007C4DE9"/>
    <w:rsid w:val="007C5B03"/>
    <w:rsid w:val="007C6966"/>
    <w:rsid w:val="007D071B"/>
    <w:rsid w:val="007D25BB"/>
    <w:rsid w:val="007D51F0"/>
    <w:rsid w:val="007E23A6"/>
    <w:rsid w:val="007E27AC"/>
    <w:rsid w:val="007E3D77"/>
    <w:rsid w:val="007E4227"/>
    <w:rsid w:val="007E4E02"/>
    <w:rsid w:val="007E7309"/>
    <w:rsid w:val="007F0A28"/>
    <w:rsid w:val="007F0AD9"/>
    <w:rsid w:val="007F1B1A"/>
    <w:rsid w:val="007F5042"/>
    <w:rsid w:val="007F7BC5"/>
    <w:rsid w:val="00802B35"/>
    <w:rsid w:val="00803572"/>
    <w:rsid w:val="008103E3"/>
    <w:rsid w:val="00810B2B"/>
    <w:rsid w:val="00811197"/>
    <w:rsid w:val="008114AE"/>
    <w:rsid w:val="00812DE0"/>
    <w:rsid w:val="00812F17"/>
    <w:rsid w:val="0081622B"/>
    <w:rsid w:val="00816CEE"/>
    <w:rsid w:val="00821634"/>
    <w:rsid w:val="00831B3B"/>
    <w:rsid w:val="0083234B"/>
    <w:rsid w:val="008334EF"/>
    <w:rsid w:val="00835BFC"/>
    <w:rsid w:val="008366C4"/>
    <w:rsid w:val="008369BD"/>
    <w:rsid w:val="00841C42"/>
    <w:rsid w:val="00845F1E"/>
    <w:rsid w:val="008465C1"/>
    <w:rsid w:val="00851DEE"/>
    <w:rsid w:val="0085200B"/>
    <w:rsid w:val="008552BB"/>
    <w:rsid w:val="00856392"/>
    <w:rsid w:val="0085794A"/>
    <w:rsid w:val="00860628"/>
    <w:rsid w:val="00865FFA"/>
    <w:rsid w:val="008714B4"/>
    <w:rsid w:val="008753AD"/>
    <w:rsid w:val="008758EA"/>
    <w:rsid w:val="00880DAE"/>
    <w:rsid w:val="00880E33"/>
    <w:rsid w:val="00881A6D"/>
    <w:rsid w:val="00883994"/>
    <w:rsid w:val="008864F5"/>
    <w:rsid w:val="0089038E"/>
    <w:rsid w:val="00890E9B"/>
    <w:rsid w:val="0089208B"/>
    <w:rsid w:val="00894346"/>
    <w:rsid w:val="00896434"/>
    <w:rsid w:val="00896982"/>
    <w:rsid w:val="008A03D7"/>
    <w:rsid w:val="008A0570"/>
    <w:rsid w:val="008A1542"/>
    <w:rsid w:val="008A271B"/>
    <w:rsid w:val="008A2E11"/>
    <w:rsid w:val="008A5ED5"/>
    <w:rsid w:val="008A6C60"/>
    <w:rsid w:val="008A6D31"/>
    <w:rsid w:val="008A76B3"/>
    <w:rsid w:val="008B17E0"/>
    <w:rsid w:val="008B2884"/>
    <w:rsid w:val="008B49A0"/>
    <w:rsid w:val="008B7805"/>
    <w:rsid w:val="008C21FA"/>
    <w:rsid w:val="008C23E3"/>
    <w:rsid w:val="008C5960"/>
    <w:rsid w:val="008D21F7"/>
    <w:rsid w:val="008D426F"/>
    <w:rsid w:val="008D78DB"/>
    <w:rsid w:val="008E1320"/>
    <w:rsid w:val="008E145B"/>
    <w:rsid w:val="008E164C"/>
    <w:rsid w:val="008E3400"/>
    <w:rsid w:val="008E3F9C"/>
    <w:rsid w:val="008E48EF"/>
    <w:rsid w:val="008E5D7B"/>
    <w:rsid w:val="008E697F"/>
    <w:rsid w:val="008E762E"/>
    <w:rsid w:val="008F14AA"/>
    <w:rsid w:val="008F21D5"/>
    <w:rsid w:val="008F2809"/>
    <w:rsid w:val="008F4A49"/>
    <w:rsid w:val="00901C46"/>
    <w:rsid w:val="00902458"/>
    <w:rsid w:val="0090255E"/>
    <w:rsid w:val="0090321A"/>
    <w:rsid w:val="009039DA"/>
    <w:rsid w:val="00903F9E"/>
    <w:rsid w:val="00906176"/>
    <w:rsid w:val="00911D35"/>
    <w:rsid w:val="00911D3F"/>
    <w:rsid w:val="00912D3A"/>
    <w:rsid w:val="009149C1"/>
    <w:rsid w:val="00917187"/>
    <w:rsid w:val="00920AFC"/>
    <w:rsid w:val="00922661"/>
    <w:rsid w:val="00924D44"/>
    <w:rsid w:val="00926836"/>
    <w:rsid w:val="00930408"/>
    <w:rsid w:val="00931F14"/>
    <w:rsid w:val="0093272F"/>
    <w:rsid w:val="00933005"/>
    <w:rsid w:val="009348C8"/>
    <w:rsid w:val="00936188"/>
    <w:rsid w:val="009361A1"/>
    <w:rsid w:val="00936205"/>
    <w:rsid w:val="009405D0"/>
    <w:rsid w:val="009414D8"/>
    <w:rsid w:val="00942029"/>
    <w:rsid w:val="009435E4"/>
    <w:rsid w:val="00943E18"/>
    <w:rsid w:val="00944682"/>
    <w:rsid w:val="00947C7D"/>
    <w:rsid w:val="0095218A"/>
    <w:rsid w:val="00952CAB"/>
    <w:rsid w:val="0095490A"/>
    <w:rsid w:val="00954F6A"/>
    <w:rsid w:val="0095628D"/>
    <w:rsid w:val="00956585"/>
    <w:rsid w:val="009579A2"/>
    <w:rsid w:val="00961D4B"/>
    <w:rsid w:val="00962E26"/>
    <w:rsid w:val="009631B9"/>
    <w:rsid w:val="009666ED"/>
    <w:rsid w:val="00970BFE"/>
    <w:rsid w:val="00970D2C"/>
    <w:rsid w:val="009711B9"/>
    <w:rsid w:val="00972239"/>
    <w:rsid w:val="009724B1"/>
    <w:rsid w:val="00976778"/>
    <w:rsid w:val="0097699A"/>
    <w:rsid w:val="0098155C"/>
    <w:rsid w:val="009815B0"/>
    <w:rsid w:val="00981D49"/>
    <w:rsid w:val="00982703"/>
    <w:rsid w:val="009832B5"/>
    <w:rsid w:val="009836FC"/>
    <w:rsid w:val="00986D95"/>
    <w:rsid w:val="00987E4B"/>
    <w:rsid w:val="00991337"/>
    <w:rsid w:val="009A0121"/>
    <w:rsid w:val="009A31C9"/>
    <w:rsid w:val="009A3240"/>
    <w:rsid w:val="009A76FE"/>
    <w:rsid w:val="009B18D1"/>
    <w:rsid w:val="009C0598"/>
    <w:rsid w:val="009C083C"/>
    <w:rsid w:val="009C20E5"/>
    <w:rsid w:val="009C2377"/>
    <w:rsid w:val="009C2B20"/>
    <w:rsid w:val="009C451A"/>
    <w:rsid w:val="009C4A22"/>
    <w:rsid w:val="009C740D"/>
    <w:rsid w:val="009D1729"/>
    <w:rsid w:val="009D1B4A"/>
    <w:rsid w:val="009D69F0"/>
    <w:rsid w:val="009E1DEA"/>
    <w:rsid w:val="009E6E3D"/>
    <w:rsid w:val="009E6E41"/>
    <w:rsid w:val="009E79BE"/>
    <w:rsid w:val="009F0770"/>
    <w:rsid w:val="009F7F4F"/>
    <w:rsid w:val="00A03C80"/>
    <w:rsid w:val="00A064B1"/>
    <w:rsid w:val="00A06722"/>
    <w:rsid w:val="00A072A8"/>
    <w:rsid w:val="00A07D76"/>
    <w:rsid w:val="00A107D5"/>
    <w:rsid w:val="00A113DD"/>
    <w:rsid w:val="00A119E5"/>
    <w:rsid w:val="00A22A34"/>
    <w:rsid w:val="00A24440"/>
    <w:rsid w:val="00A26E22"/>
    <w:rsid w:val="00A27ACE"/>
    <w:rsid w:val="00A3021A"/>
    <w:rsid w:val="00A303C6"/>
    <w:rsid w:val="00A316FB"/>
    <w:rsid w:val="00A37CCF"/>
    <w:rsid w:val="00A417B7"/>
    <w:rsid w:val="00A43EA5"/>
    <w:rsid w:val="00A44019"/>
    <w:rsid w:val="00A4527B"/>
    <w:rsid w:val="00A45BC6"/>
    <w:rsid w:val="00A51BF4"/>
    <w:rsid w:val="00A53024"/>
    <w:rsid w:val="00A537D9"/>
    <w:rsid w:val="00A5462B"/>
    <w:rsid w:val="00A552CB"/>
    <w:rsid w:val="00A563B3"/>
    <w:rsid w:val="00A57CBF"/>
    <w:rsid w:val="00A618DD"/>
    <w:rsid w:val="00A62031"/>
    <w:rsid w:val="00A65639"/>
    <w:rsid w:val="00A66B2F"/>
    <w:rsid w:val="00A66BC5"/>
    <w:rsid w:val="00A673D4"/>
    <w:rsid w:val="00A67548"/>
    <w:rsid w:val="00A717EA"/>
    <w:rsid w:val="00A7199F"/>
    <w:rsid w:val="00A72E08"/>
    <w:rsid w:val="00A73A9A"/>
    <w:rsid w:val="00A766F5"/>
    <w:rsid w:val="00A80D25"/>
    <w:rsid w:val="00A8314C"/>
    <w:rsid w:val="00A85F4E"/>
    <w:rsid w:val="00A91D31"/>
    <w:rsid w:val="00A9366B"/>
    <w:rsid w:val="00A95FC6"/>
    <w:rsid w:val="00A96B18"/>
    <w:rsid w:val="00A96B34"/>
    <w:rsid w:val="00A97AFA"/>
    <w:rsid w:val="00AA0B8D"/>
    <w:rsid w:val="00AA1CFE"/>
    <w:rsid w:val="00AA2395"/>
    <w:rsid w:val="00AA2553"/>
    <w:rsid w:val="00AA3B47"/>
    <w:rsid w:val="00AA56DA"/>
    <w:rsid w:val="00AB1D66"/>
    <w:rsid w:val="00AB26F5"/>
    <w:rsid w:val="00AB2915"/>
    <w:rsid w:val="00AB2C5C"/>
    <w:rsid w:val="00AB4126"/>
    <w:rsid w:val="00AB6E56"/>
    <w:rsid w:val="00AB75F7"/>
    <w:rsid w:val="00AC4190"/>
    <w:rsid w:val="00AC4525"/>
    <w:rsid w:val="00AC4DD6"/>
    <w:rsid w:val="00AC5264"/>
    <w:rsid w:val="00AC63C7"/>
    <w:rsid w:val="00AC6CDA"/>
    <w:rsid w:val="00AC71E3"/>
    <w:rsid w:val="00AC7BEB"/>
    <w:rsid w:val="00AD0472"/>
    <w:rsid w:val="00AD2251"/>
    <w:rsid w:val="00AD5D6D"/>
    <w:rsid w:val="00AD630B"/>
    <w:rsid w:val="00AE02E2"/>
    <w:rsid w:val="00AE21A7"/>
    <w:rsid w:val="00AE2CE5"/>
    <w:rsid w:val="00AE3DAD"/>
    <w:rsid w:val="00AE42D3"/>
    <w:rsid w:val="00AE5C9A"/>
    <w:rsid w:val="00AE5D66"/>
    <w:rsid w:val="00AF10FB"/>
    <w:rsid w:val="00AF363B"/>
    <w:rsid w:val="00B0089E"/>
    <w:rsid w:val="00B00ED8"/>
    <w:rsid w:val="00B1086F"/>
    <w:rsid w:val="00B108E2"/>
    <w:rsid w:val="00B12788"/>
    <w:rsid w:val="00B218CC"/>
    <w:rsid w:val="00B2384D"/>
    <w:rsid w:val="00B23F70"/>
    <w:rsid w:val="00B26347"/>
    <w:rsid w:val="00B27D55"/>
    <w:rsid w:val="00B3039E"/>
    <w:rsid w:val="00B30FA0"/>
    <w:rsid w:val="00B40E12"/>
    <w:rsid w:val="00B42C2E"/>
    <w:rsid w:val="00B42C4A"/>
    <w:rsid w:val="00B4435E"/>
    <w:rsid w:val="00B44C9C"/>
    <w:rsid w:val="00B5083F"/>
    <w:rsid w:val="00B5167F"/>
    <w:rsid w:val="00B57D77"/>
    <w:rsid w:val="00B62157"/>
    <w:rsid w:val="00B658D2"/>
    <w:rsid w:val="00B72748"/>
    <w:rsid w:val="00B72A29"/>
    <w:rsid w:val="00B771B7"/>
    <w:rsid w:val="00B77B74"/>
    <w:rsid w:val="00B80CE7"/>
    <w:rsid w:val="00B80F70"/>
    <w:rsid w:val="00B829FB"/>
    <w:rsid w:val="00B8335F"/>
    <w:rsid w:val="00B85C36"/>
    <w:rsid w:val="00B86D77"/>
    <w:rsid w:val="00B91B69"/>
    <w:rsid w:val="00B925E0"/>
    <w:rsid w:val="00B9454C"/>
    <w:rsid w:val="00B95453"/>
    <w:rsid w:val="00B95DF7"/>
    <w:rsid w:val="00B97C94"/>
    <w:rsid w:val="00BA39D2"/>
    <w:rsid w:val="00BA3B17"/>
    <w:rsid w:val="00BA4E18"/>
    <w:rsid w:val="00BA4EDF"/>
    <w:rsid w:val="00BA51B7"/>
    <w:rsid w:val="00BB3AC6"/>
    <w:rsid w:val="00BB419A"/>
    <w:rsid w:val="00BB6440"/>
    <w:rsid w:val="00BB74BA"/>
    <w:rsid w:val="00BB7ECA"/>
    <w:rsid w:val="00BC1A0E"/>
    <w:rsid w:val="00BC2EC9"/>
    <w:rsid w:val="00BC379E"/>
    <w:rsid w:val="00BC5619"/>
    <w:rsid w:val="00BC6B5F"/>
    <w:rsid w:val="00BC726B"/>
    <w:rsid w:val="00BC7810"/>
    <w:rsid w:val="00BD0437"/>
    <w:rsid w:val="00BD124A"/>
    <w:rsid w:val="00BD1F05"/>
    <w:rsid w:val="00BD2ECB"/>
    <w:rsid w:val="00BD4BC7"/>
    <w:rsid w:val="00BD6BEE"/>
    <w:rsid w:val="00BE1873"/>
    <w:rsid w:val="00BE56BB"/>
    <w:rsid w:val="00BE67BA"/>
    <w:rsid w:val="00BE6A29"/>
    <w:rsid w:val="00BE760F"/>
    <w:rsid w:val="00BF050C"/>
    <w:rsid w:val="00BF2045"/>
    <w:rsid w:val="00BF5A79"/>
    <w:rsid w:val="00C0058F"/>
    <w:rsid w:val="00C00E4E"/>
    <w:rsid w:val="00C01765"/>
    <w:rsid w:val="00C01AC5"/>
    <w:rsid w:val="00C026A6"/>
    <w:rsid w:val="00C048F6"/>
    <w:rsid w:val="00C07966"/>
    <w:rsid w:val="00C107AA"/>
    <w:rsid w:val="00C12CCB"/>
    <w:rsid w:val="00C16255"/>
    <w:rsid w:val="00C17278"/>
    <w:rsid w:val="00C179AE"/>
    <w:rsid w:val="00C21BF1"/>
    <w:rsid w:val="00C22CF8"/>
    <w:rsid w:val="00C23A07"/>
    <w:rsid w:val="00C26F71"/>
    <w:rsid w:val="00C271D2"/>
    <w:rsid w:val="00C30EEA"/>
    <w:rsid w:val="00C323C4"/>
    <w:rsid w:val="00C34149"/>
    <w:rsid w:val="00C3653F"/>
    <w:rsid w:val="00C376D7"/>
    <w:rsid w:val="00C41CBA"/>
    <w:rsid w:val="00C45C14"/>
    <w:rsid w:val="00C50807"/>
    <w:rsid w:val="00C50D0D"/>
    <w:rsid w:val="00C51B88"/>
    <w:rsid w:val="00C53716"/>
    <w:rsid w:val="00C54D63"/>
    <w:rsid w:val="00C55FA5"/>
    <w:rsid w:val="00C622F8"/>
    <w:rsid w:val="00C642E0"/>
    <w:rsid w:val="00C64CCA"/>
    <w:rsid w:val="00C64DA9"/>
    <w:rsid w:val="00C667F8"/>
    <w:rsid w:val="00C66DFC"/>
    <w:rsid w:val="00C70EDD"/>
    <w:rsid w:val="00C760CC"/>
    <w:rsid w:val="00C86C79"/>
    <w:rsid w:val="00C879E3"/>
    <w:rsid w:val="00C87D27"/>
    <w:rsid w:val="00C90513"/>
    <w:rsid w:val="00C95566"/>
    <w:rsid w:val="00CA11AD"/>
    <w:rsid w:val="00CA416F"/>
    <w:rsid w:val="00CA59A9"/>
    <w:rsid w:val="00CB0CA7"/>
    <w:rsid w:val="00CB20EA"/>
    <w:rsid w:val="00CB39E3"/>
    <w:rsid w:val="00CB3D2A"/>
    <w:rsid w:val="00CB503B"/>
    <w:rsid w:val="00CC531D"/>
    <w:rsid w:val="00CC7017"/>
    <w:rsid w:val="00CC75EF"/>
    <w:rsid w:val="00CD09BB"/>
    <w:rsid w:val="00CD2005"/>
    <w:rsid w:val="00CD2C37"/>
    <w:rsid w:val="00CD32CA"/>
    <w:rsid w:val="00CD3D7F"/>
    <w:rsid w:val="00CD7433"/>
    <w:rsid w:val="00CD7446"/>
    <w:rsid w:val="00CE0511"/>
    <w:rsid w:val="00CE1B6E"/>
    <w:rsid w:val="00CE27E2"/>
    <w:rsid w:val="00CE3E97"/>
    <w:rsid w:val="00CE5162"/>
    <w:rsid w:val="00CF14F3"/>
    <w:rsid w:val="00CF4E89"/>
    <w:rsid w:val="00CF5381"/>
    <w:rsid w:val="00CF6D97"/>
    <w:rsid w:val="00CF713A"/>
    <w:rsid w:val="00D01429"/>
    <w:rsid w:val="00D0368C"/>
    <w:rsid w:val="00D03955"/>
    <w:rsid w:val="00D05D96"/>
    <w:rsid w:val="00D0627A"/>
    <w:rsid w:val="00D06B46"/>
    <w:rsid w:val="00D112AB"/>
    <w:rsid w:val="00D119AD"/>
    <w:rsid w:val="00D13F9C"/>
    <w:rsid w:val="00D1456E"/>
    <w:rsid w:val="00D150BB"/>
    <w:rsid w:val="00D2019D"/>
    <w:rsid w:val="00D213EE"/>
    <w:rsid w:val="00D22F4C"/>
    <w:rsid w:val="00D26009"/>
    <w:rsid w:val="00D26BF0"/>
    <w:rsid w:val="00D322F8"/>
    <w:rsid w:val="00D42168"/>
    <w:rsid w:val="00D4354C"/>
    <w:rsid w:val="00D44B8A"/>
    <w:rsid w:val="00D45C4D"/>
    <w:rsid w:val="00D46123"/>
    <w:rsid w:val="00D47525"/>
    <w:rsid w:val="00D57049"/>
    <w:rsid w:val="00D57598"/>
    <w:rsid w:val="00D57E45"/>
    <w:rsid w:val="00D61C23"/>
    <w:rsid w:val="00D63224"/>
    <w:rsid w:val="00D64CBE"/>
    <w:rsid w:val="00D671E6"/>
    <w:rsid w:val="00D6731A"/>
    <w:rsid w:val="00D674B5"/>
    <w:rsid w:val="00D7194B"/>
    <w:rsid w:val="00D735D5"/>
    <w:rsid w:val="00D7393B"/>
    <w:rsid w:val="00D74B47"/>
    <w:rsid w:val="00D75E37"/>
    <w:rsid w:val="00D86F06"/>
    <w:rsid w:val="00D91826"/>
    <w:rsid w:val="00D927BC"/>
    <w:rsid w:val="00D93958"/>
    <w:rsid w:val="00D96281"/>
    <w:rsid w:val="00DA2E3F"/>
    <w:rsid w:val="00DA42D6"/>
    <w:rsid w:val="00DA640A"/>
    <w:rsid w:val="00DA6F43"/>
    <w:rsid w:val="00DA75F5"/>
    <w:rsid w:val="00DA78C7"/>
    <w:rsid w:val="00DB0FD4"/>
    <w:rsid w:val="00DB1E67"/>
    <w:rsid w:val="00DB2AEA"/>
    <w:rsid w:val="00DB43A4"/>
    <w:rsid w:val="00DB4AB2"/>
    <w:rsid w:val="00DB6342"/>
    <w:rsid w:val="00DB7CC2"/>
    <w:rsid w:val="00DC159E"/>
    <w:rsid w:val="00DC48F6"/>
    <w:rsid w:val="00DC593B"/>
    <w:rsid w:val="00DC7A58"/>
    <w:rsid w:val="00DD1C98"/>
    <w:rsid w:val="00DD4840"/>
    <w:rsid w:val="00DD680B"/>
    <w:rsid w:val="00DD6B7E"/>
    <w:rsid w:val="00DD7334"/>
    <w:rsid w:val="00DE0E43"/>
    <w:rsid w:val="00DE1CF5"/>
    <w:rsid w:val="00DE215E"/>
    <w:rsid w:val="00DE28F7"/>
    <w:rsid w:val="00DE4AC1"/>
    <w:rsid w:val="00DE5773"/>
    <w:rsid w:val="00DE58F5"/>
    <w:rsid w:val="00DF119F"/>
    <w:rsid w:val="00DF3559"/>
    <w:rsid w:val="00DF43A2"/>
    <w:rsid w:val="00DF7F68"/>
    <w:rsid w:val="00E03E0E"/>
    <w:rsid w:val="00E03E72"/>
    <w:rsid w:val="00E05D27"/>
    <w:rsid w:val="00E1024A"/>
    <w:rsid w:val="00E10328"/>
    <w:rsid w:val="00E1092C"/>
    <w:rsid w:val="00E1115D"/>
    <w:rsid w:val="00E11C44"/>
    <w:rsid w:val="00E12FD1"/>
    <w:rsid w:val="00E16858"/>
    <w:rsid w:val="00E16AAD"/>
    <w:rsid w:val="00E178B4"/>
    <w:rsid w:val="00E20BCE"/>
    <w:rsid w:val="00E22914"/>
    <w:rsid w:val="00E248A3"/>
    <w:rsid w:val="00E352AC"/>
    <w:rsid w:val="00E35300"/>
    <w:rsid w:val="00E36326"/>
    <w:rsid w:val="00E36853"/>
    <w:rsid w:val="00E40207"/>
    <w:rsid w:val="00E40B5E"/>
    <w:rsid w:val="00E40DA3"/>
    <w:rsid w:val="00E41810"/>
    <w:rsid w:val="00E42404"/>
    <w:rsid w:val="00E4454F"/>
    <w:rsid w:val="00E514D4"/>
    <w:rsid w:val="00E55E14"/>
    <w:rsid w:val="00E64E2B"/>
    <w:rsid w:val="00E655A4"/>
    <w:rsid w:val="00E664FA"/>
    <w:rsid w:val="00E71C14"/>
    <w:rsid w:val="00E72FC2"/>
    <w:rsid w:val="00E73416"/>
    <w:rsid w:val="00E77639"/>
    <w:rsid w:val="00E802A6"/>
    <w:rsid w:val="00E80302"/>
    <w:rsid w:val="00E84CBF"/>
    <w:rsid w:val="00E9136A"/>
    <w:rsid w:val="00E91D1F"/>
    <w:rsid w:val="00E934B3"/>
    <w:rsid w:val="00E95478"/>
    <w:rsid w:val="00E96820"/>
    <w:rsid w:val="00E97853"/>
    <w:rsid w:val="00EA338E"/>
    <w:rsid w:val="00EA39F9"/>
    <w:rsid w:val="00EA4138"/>
    <w:rsid w:val="00EA7E90"/>
    <w:rsid w:val="00EB5D34"/>
    <w:rsid w:val="00EC0253"/>
    <w:rsid w:val="00EC2806"/>
    <w:rsid w:val="00EC3679"/>
    <w:rsid w:val="00EC6C43"/>
    <w:rsid w:val="00EC7CC9"/>
    <w:rsid w:val="00ED4768"/>
    <w:rsid w:val="00EE12E9"/>
    <w:rsid w:val="00EE2A4C"/>
    <w:rsid w:val="00EE331D"/>
    <w:rsid w:val="00EE39CF"/>
    <w:rsid w:val="00EE42EC"/>
    <w:rsid w:val="00EE467A"/>
    <w:rsid w:val="00EE5F79"/>
    <w:rsid w:val="00EE6891"/>
    <w:rsid w:val="00EF13BB"/>
    <w:rsid w:val="00EF2FAA"/>
    <w:rsid w:val="00EF7833"/>
    <w:rsid w:val="00EF7F49"/>
    <w:rsid w:val="00F00D61"/>
    <w:rsid w:val="00F01E5D"/>
    <w:rsid w:val="00F02819"/>
    <w:rsid w:val="00F0375A"/>
    <w:rsid w:val="00F0504A"/>
    <w:rsid w:val="00F05DEC"/>
    <w:rsid w:val="00F07D41"/>
    <w:rsid w:val="00F1290C"/>
    <w:rsid w:val="00F13B60"/>
    <w:rsid w:val="00F14098"/>
    <w:rsid w:val="00F204B0"/>
    <w:rsid w:val="00F22C76"/>
    <w:rsid w:val="00F249B2"/>
    <w:rsid w:val="00F26E3A"/>
    <w:rsid w:val="00F366C9"/>
    <w:rsid w:val="00F37023"/>
    <w:rsid w:val="00F377B0"/>
    <w:rsid w:val="00F40D0D"/>
    <w:rsid w:val="00F42DF1"/>
    <w:rsid w:val="00F43679"/>
    <w:rsid w:val="00F472B8"/>
    <w:rsid w:val="00F50968"/>
    <w:rsid w:val="00F533E5"/>
    <w:rsid w:val="00F546AC"/>
    <w:rsid w:val="00F55350"/>
    <w:rsid w:val="00F55B99"/>
    <w:rsid w:val="00F601F3"/>
    <w:rsid w:val="00F62EF2"/>
    <w:rsid w:val="00F63836"/>
    <w:rsid w:val="00F63A64"/>
    <w:rsid w:val="00F65417"/>
    <w:rsid w:val="00F677F0"/>
    <w:rsid w:val="00F6793E"/>
    <w:rsid w:val="00F7087B"/>
    <w:rsid w:val="00F719F8"/>
    <w:rsid w:val="00F72909"/>
    <w:rsid w:val="00F730D3"/>
    <w:rsid w:val="00F746C3"/>
    <w:rsid w:val="00F75FD3"/>
    <w:rsid w:val="00F77BC3"/>
    <w:rsid w:val="00F805FC"/>
    <w:rsid w:val="00F81073"/>
    <w:rsid w:val="00F83DD7"/>
    <w:rsid w:val="00F83DDA"/>
    <w:rsid w:val="00F8503A"/>
    <w:rsid w:val="00F92350"/>
    <w:rsid w:val="00F93ADF"/>
    <w:rsid w:val="00F945EE"/>
    <w:rsid w:val="00F95067"/>
    <w:rsid w:val="00F97120"/>
    <w:rsid w:val="00F97F7E"/>
    <w:rsid w:val="00FA1041"/>
    <w:rsid w:val="00FA63F5"/>
    <w:rsid w:val="00FA654C"/>
    <w:rsid w:val="00FA7BFC"/>
    <w:rsid w:val="00FB020B"/>
    <w:rsid w:val="00FB0A7C"/>
    <w:rsid w:val="00FB0FE9"/>
    <w:rsid w:val="00FC245A"/>
    <w:rsid w:val="00FC25ED"/>
    <w:rsid w:val="00FC41C7"/>
    <w:rsid w:val="00FC4AAF"/>
    <w:rsid w:val="00FC66E3"/>
    <w:rsid w:val="00FD1E83"/>
    <w:rsid w:val="00FD22B4"/>
    <w:rsid w:val="00FD57C0"/>
    <w:rsid w:val="00FD5FC3"/>
    <w:rsid w:val="00FE1727"/>
    <w:rsid w:val="00FE4D82"/>
    <w:rsid w:val="00FE500C"/>
    <w:rsid w:val="00FE5B86"/>
    <w:rsid w:val="00FF0872"/>
    <w:rsid w:val="00FF1D0C"/>
    <w:rsid w:val="00FF4EE4"/>
    <w:rsid w:val="00FF5395"/>
    <w:rsid w:val="00FF6736"/>
    <w:rsid w:val="00FF687E"/>
    <w:rsid w:val="00FF71DB"/>
    <w:rsid w:val="00FF77FE"/>
    <w:rsid w:val="041437BE"/>
    <w:rsid w:val="0476631B"/>
    <w:rsid w:val="055426D3"/>
    <w:rsid w:val="06911ED5"/>
    <w:rsid w:val="08D84B52"/>
    <w:rsid w:val="09A514F4"/>
    <w:rsid w:val="0B2E376B"/>
    <w:rsid w:val="0BC35C62"/>
    <w:rsid w:val="0C542D5E"/>
    <w:rsid w:val="0CA43CE5"/>
    <w:rsid w:val="0CE8496C"/>
    <w:rsid w:val="0D4E1EA3"/>
    <w:rsid w:val="0E954D7F"/>
    <w:rsid w:val="0EBD108E"/>
    <w:rsid w:val="0ECD5FBD"/>
    <w:rsid w:val="12837C92"/>
    <w:rsid w:val="12CA1FCB"/>
    <w:rsid w:val="13533D6F"/>
    <w:rsid w:val="135C4E2C"/>
    <w:rsid w:val="139212C1"/>
    <w:rsid w:val="14771CDF"/>
    <w:rsid w:val="14AA5673"/>
    <w:rsid w:val="14B60760"/>
    <w:rsid w:val="15350299"/>
    <w:rsid w:val="1598015F"/>
    <w:rsid w:val="183E0A52"/>
    <w:rsid w:val="19750CBC"/>
    <w:rsid w:val="1B857496"/>
    <w:rsid w:val="1C513F74"/>
    <w:rsid w:val="1C99656B"/>
    <w:rsid w:val="1D783C05"/>
    <w:rsid w:val="1DDC7057"/>
    <w:rsid w:val="20937EA1"/>
    <w:rsid w:val="20C718F8"/>
    <w:rsid w:val="221B63A0"/>
    <w:rsid w:val="221E7C3E"/>
    <w:rsid w:val="22AA0476"/>
    <w:rsid w:val="23B06CFF"/>
    <w:rsid w:val="23D74548"/>
    <w:rsid w:val="24E24F53"/>
    <w:rsid w:val="255F7CB8"/>
    <w:rsid w:val="264B2FCC"/>
    <w:rsid w:val="26A10D8C"/>
    <w:rsid w:val="27A91D58"/>
    <w:rsid w:val="27EC60E8"/>
    <w:rsid w:val="287B21F0"/>
    <w:rsid w:val="2B5833A9"/>
    <w:rsid w:val="2BA0D187"/>
    <w:rsid w:val="2DC21CBC"/>
    <w:rsid w:val="2DFA7851"/>
    <w:rsid w:val="2EB07688"/>
    <w:rsid w:val="2EC456C9"/>
    <w:rsid w:val="2F9CCD26"/>
    <w:rsid w:val="2FBF6BCC"/>
    <w:rsid w:val="2FFEFF5E"/>
    <w:rsid w:val="30386047"/>
    <w:rsid w:val="31A16195"/>
    <w:rsid w:val="32CE4D68"/>
    <w:rsid w:val="331F3816"/>
    <w:rsid w:val="34330343"/>
    <w:rsid w:val="346D235F"/>
    <w:rsid w:val="349B511E"/>
    <w:rsid w:val="34BA3931"/>
    <w:rsid w:val="353D90CA"/>
    <w:rsid w:val="358818A4"/>
    <w:rsid w:val="35B03811"/>
    <w:rsid w:val="35DA3A24"/>
    <w:rsid w:val="35FD89C2"/>
    <w:rsid w:val="365E4655"/>
    <w:rsid w:val="36BE795E"/>
    <w:rsid w:val="37916499"/>
    <w:rsid w:val="379522F8"/>
    <w:rsid w:val="37D526F5"/>
    <w:rsid w:val="37F77D53"/>
    <w:rsid w:val="381E552D"/>
    <w:rsid w:val="388D7E55"/>
    <w:rsid w:val="3A257964"/>
    <w:rsid w:val="3AA7481D"/>
    <w:rsid w:val="3B1A2DD5"/>
    <w:rsid w:val="3B758C4B"/>
    <w:rsid w:val="3C9C7C85"/>
    <w:rsid w:val="3D27296B"/>
    <w:rsid w:val="3E9E5F37"/>
    <w:rsid w:val="3EF1F057"/>
    <w:rsid w:val="3FF66FFF"/>
    <w:rsid w:val="403C5A07"/>
    <w:rsid w:val="40674EB6"/>
    <w:rsid w:val="40784565"/>
    <w:rsid w:val="41EB23DC"/>
    <w:rsid w:val="43BC29BB"/>
    <w:rsid w:val="43BDF508"/>
    <w:rsid w:val="445E611D"/>
    <w:rsid w:val="45392515"/>
    <w:rsid w:val="45704679"/>
    <w:rsid w:val="45FD80DA"/>
    <w:rsid w:val="460A5C60"/>
    <w:rsid w:val="463C2323"/>
    <w:rsid w:val="46C35225"/>
    <w:rsid w:val="47AA47C4"/>
    <w:rsid w:val="48454006"/>
    <w:rsid w:val="499FC75B"/>
    <w:rsid w:val="4A7E6C1C"/>
    <w:rsid w:val="4AA67737"/>
    <w:rsid w:val="4B5A314F"/>
    <w:rsid w:val="4BA614AE"/>
    <w:rsid w:val="4BD30AAB"/>
    <w:rsid w:val="4D0433BC"/>
    <w:rsid w:val="4EBB333D"/>
    <w:rsid w:val="4ED41501"/>
    <w:rsid w:val="4F3D0E54"/>
    <w:rsid w:val="4FB0718F"/>
    <w:rsid w:val="4FBC621D"/>
    <w:rsid w:val="4FF9A338"/>
    <w:rsid w:val="507E7AD2"/>
    <w:rsid w:val="50AC44E3"/>
    <w:rsid w:val="50C94393"/>
    <w:rsid w:val="51935A63"/>
    <w:rsid w:val="51C94C21"/>
    <w:rsid w:val="535E75EB"/>
    <w:rsid w:val="54ED0C26"/>
    <w:rsid w:val="54F05465"/>
    <w:rsid w:val="55036773"/>
    <w:rsid w:val="56821842"/>
    <w:rsid w:val="575B2F23"/>
    <w:rsid w:val="57FC78DD"/>
    <w:rsid w:val="57FD50E8"/>
    <w:rsid w:val="591A3FB4"/>
    <w:rsid w:val="5AFDBD69"/>
    <w:rsid w:val="5C392A5F"/>
    <w:rsid w:val="5CA02A22"/>
    <w:rsid w:val="5CA22C3E"/>
    <w:rsid w:val="5CDE3C62"/>
    <w:rsid w:val="5CFF003F"/>
    <w:rsid w:val="5DBA7B13"/>
    <w:rsid w:val="5E9A1E1F"/>
    <w:rsid w:val="5EB7C11B"/>
    <w:rsid w:val="5FE6DDE1"/>
    <w:rsid w:val="60877E9C"/>
    <w:rsid w:val="60C519AD"/>
    <w:rsid w:val="60F64922"/>
    <w:rsid w:val="61785D1C"/>
    <w:rsid w:val="61CB1202"/>
    <w:rsid w:val="61F01D56"/>
    <w:rsid w:val="63FA510E"/>
    <w:rsid w:val="643979E4"/>
    <w:rsid w:val="645B3DFE"/>
    <w:rsid w:val="64CD637E"/>
    <w:rsid w:val="65532C57"/>
    <w:rsid w:val="655D7DEC"/>
    <w:rsid w:val="66EF7B7D"/>
    <w:rsid w:val="670F7122"/>
    <w:rsid w:val="68BA0A96"/>
    <w:rsid w:val="68E819D9"/>
    <w:rsid w:val="69196036"/>
    <w:rsid w:val="698A2A90"/>
    <w:rsid w:val="6BBF50B5"/>
    <w:rsid w:val="6BEB1F0C"/>
    <w:rsid w:val="6C427CC2"/>
    <w:rsid w:val="6D5175C4"/>
    <w:rsid w:val="6DBB590E"/>
    <w:rsid w:val="6DF7FD66"/>
    <w:rsid w:val="6E16108B"/>
    <w:rsid w:val="6E6C4E5A"/>
    <w:rsid w:val="6EFDED04"/>
    <w:rsid w:val="6F48396C"/>
    <w:rsid w:val="6F8740A2"/>
    <w:rsid w:val="6FBD2B03"/>
    <w:rsid w:val="6FBD995F"/>
    <w:rsid w:val="6FC860C0"/>
    <w:rsid w:val="6FD42AFF"/>
    <w:rsid w:val="71193077"/>
    <w:rsid w:val="71F9D574"/>
    <w:rsid w:val="722241AD"/>
    <w:rsid w:val="727D4ADB"/>
    <w:rsid w:val="72E36BEC"/>
    <w:rsid w:val="74B66E2F"/>
    <w:rsid w:val="75377F70"/>
    <w:rsid w:val="754745DB"/>
    <w:rsid w:val="75BF3E53"/>
    <w:rsid w:val="76161832"/>
    <w:rsid w:val="761B7DE5"/>
    <w:rsid w:val="766C1E9B"/>
    <w:rsid w:val="77BE2E99"/>
    <w:rsid w:val="77FB46E5"/>
    <w:rsid w:val="77FB66F1"/>
    <w:rsid w:val="77FD2D3C"/>
    <w:rsid w:val="79121B0B"/>
    <w:rsid w:val="79565DF6"/>
    <w:rsid w:val="79C75676"/>
    <w:rsid w:val="7ABF9FA0"/>
    <w:rsid w:val="7AE00762"/>
    <w:rsid w:val="7AE364A4"/>
    <w:rsid w:val="7BAFEA81"/>
    <w:rsid w:val="7BDCD1D0"/>
    <w:rsid w:val="7BE67A29"/>
    <w:rsid w:val="7BFF0FBA"/>
    <w:rsid w:val="7C5238E1"/>
    <w:rsid w:val="7CF130FA"/>
    <w:rsid w:val="7CFD724E"/>
    <w:rsid w:val="7D374D67"/>
    <w:rsid w:val="7D378595"/>
    <w:rsid w:val="7D7EE82B"/>
    <w:rsid w:val="7DF71B06"/>
    <w:rsid w:val="7DF72F4F"/>
    <w:rsid w:val="7DF7B7A1"/>
    <w:rsid w:val="7DFFB14B"/>
    <w:rsid w:val="7E2117BD"/>
    <w:rsid w:val="7E7319E8"/>
    <w:rsid w:val="7E851E20"/>
    <w:rsid w:val="7E8E3105"/>
    <w:rsid w:val="7F9FD925"/>
    <w:rsid w:val="7FBFBAF7"/>
    <w:rsid w:val="7FDF488B"/>
    <w:rsid w:val="7FEFB1A2"/>
    <w:rsid w:val="8CB65BEC"/>
    <w:rsid w:val="96FB9041"/>
    <w:rsid w:val="96FBC8FA"/>
    <w:rsid w:val="9D4B5CFF"/>
    <w:rsid w:val="9DEF5621"/>
    <w:rsid w:val="A7FF7802"/>
    <w:rsid w:val="AB7FD003"/>
    <w:rsid w:val="ABE7D01A"/>
    <w:rsid w:val="AF7FAB7A"/>
    <w:rsid w:val="B7DB2258"/>
    <w:rsid w:val="BA7B23C6"/>
    <w:rsid w:val="BB69F461"/>
    <w:rsid w:val="BD770991"/>
    <w:rsid w:val="BDCF0D3F"/>
    <w:rsid w:val="BDE583C8"/>
    <w:rsid w:val="BF7BED76"/>
    <w:rsid w:val="BF7F3FEF"/>
    <w:rsid w:val="BFCD2FBA"/>
    <w:rsid w:val="BFD7C9D4"/>
    <w:rsid w:val="BFFF12A8"/>
    <w:rsid w:val="BFFFE03E"/>
    <w:rsid w:val="CF54EA7E"/>
    <w:rsid w:val="CFEF452F"/>
    <w:rsid w:val="DE72324E"/>
    <w:rsid w:val="DE799E7A"/>
    <w:rsid w:val="DFEFD79F"/>
    <w:rsid w:val="E7772B42"/>
    <w:rsid w:val="E7FFD2C5"/>
    <w:rsid w:val="EDFF1373"/>
    <w:rsid w:val="F5FB2F80"/>
    <w:rsid w:val="F6EF6947"/>
    <w:rsid w:val="F6FFA990"/>
    <w:rsid w:val="F9FEA064"/>
    <w:rsid w:val="FBBF5AB8"/>
    <w:rsid w:val="FBFFF064"/>
    <w:rsid w:val="FC97352D"/>
    <w:rsid w:val="FDBF7D92"/>
    <w:rsid w:val="FE734873"/>
    <w:rsid w:val="FEBFA20B"/>
    <w:rsid w:val="FF56406B"/>
    <w:rsid w:val="FF7E6E40"/>
    <w:rsid w:val="FFAADF8B"/>
    <w:rsid w:val="FFBA1AF4"/>
    <w:rsid w:val="FFBFE6EF"/>
    <w:rsid w:val="FFF6A578"/>
    <w:rsid w:val="FFFF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after="160" w:line="560" w:lineRule="exact"/>
      <w:ind w:firstLine="200" w:firstLineChars="200"/>
      <w:jc w:val="both"/>
    </w:pPr>
    <w:rPr>
      <w:rFonts w:ascii="仿宋_GB2312" w:hAnsi="仿宋_GB2312" w:eastAsia="仿宋_GB2312" w:cs="仿宋_GB2312"/>
      <w:color w:val="000000"/>
      <w:kern w:val="2"/>
      <w:sz w:val="32"/>
      <w:szCs w:val="32"/>
      <w:lang w:val="en-US" w:eastAsia="zh-CN" w:bidi="ar-SA"/>
    </w:rPr>
  </w:style>
  <w:style w:type="paragraph" w:styleId="2">
    <w:name w:val="heading 1"/>
    <w:basedOn w:val="3"/>
    <w:next w:val="1"/>
    <w:link w:val="19"/>
    <w:qFormat/>
    <w:uiPriority w:val="9"/>
    <w:pPr>
      <w:numPr>
        <w:ilvl w:val="0"/>
        <w:numId w:val="1"/>
      </w:numPr>
      <w:spacing w:before="78" w:beforeLines="25"/>
      <w:ind w:left="0" w:firstLine="640"/>
      <w:outlineLvl w:val="0"/>
    </w:pPr>
    <w:rPr>
      <w:rFonts w:ascii="黑体" w:hAnsi="黑体" w:eastAsia="黑体"/>
    </w:rPr>
  </w:style>
  <w:style w:type="paragraph" w:styleId="4">
    <w:name w:val="heading 2"/>
    <w:basedOn w:val="3"/>
    <w:next w:val="1"/>
    <w:link w:val="20"/>
    <w:qFormat/>
    <w:uiPriority w:val="9"/>
    <w:pPr>
      <w:numPr>
        <w:ilvl w:val="0"/>
        <w:numId w:val="2"/>
      </w:numPr>
      <w:spacing w:before="78" w:beforeLines="25"/>
      <w:outlineLvl w:val="1"/>
    </w:pPr>
    <w:rPr>
      <w:rFonts w:ascii="楷体_GB2312" w:hAnsi="楷体" w:eastAsia="楷体_GB2312"/>
      <w:bCs/>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99"/>
    <w:pPr>
      <w:numPr>
        <w:ilvl w:val="0"/>
        <w:numId w:val="3"/>
      </w:numPr>
      <w:ind w:left="0" w:firstLine="0" w:firstLineChars="0"/>
    </w:pPr>
  </w:style>
  <w:style w:type="paragraph" w:styleId="5">
    <w:name w:val="annotation text"/>
    <w:basedOn w:val="1"/>
    <w:link w:val="33"/>
    <w:unhideWhenUsed/>
    <w:qFormat/>
    <w:uiPriority w:val="99"/>
    <w:pPr>
      <w:jc w:val="left"/>
    </w:pPr>
  </w:style>
  <w:style w:type="paragraph" w:styleId="6">
    <w:name w:val="Balloon Text"/>
    <w:basedOn w:val="1"/>
    <w:link w:val="39"/>
    <w:semiHidden/>
    <w:unhideWhenUsed/>
    <w:qFormat/>
    <w:uiPriority w:val="99"/>
    <w:pPr>
      <w:spacing w:line="240" w:lineRule="auto"/>
    </w:pPr>
    <w:rPr>
      <w:sz w:val="18"/>
      <w:szCs w:val="18"/>
    </w:rPr>
  </w:style>
  <w:style w:type="paragraph" w:styleId="7">
    <w:name w:val="footer"/>
    <w:basedOn w:val="1"/>
    <w:link w:val="21"/>
    <w:unhideWhenUsed/>
    <w:qFormat/>
    <w:uiPriority w:val="99"/>
    <w:pPr>
      <w:tabs>
        <w:tab w:val="center" w:pos="4153"/>
        <w:tab w:val="right" w:pos="8306"/>
      </w:tabs>
      <w:jc w:val="left"/>
    </w:pPr>
    <w:rPr>
      <w:sz w:val="18"/>
      <w:szCs w:val="18"/>
    </w:rPr>
  </w:style>
  <w:style w:type="paragraph" w:styleId="8">
    <w:name w:val="header"/>
    <w:basedOn w:val="1"/>
    <w:link w:val="22"/>
    <w:unhideWhenUsed/>
    <w:qFormat/>
    <w:uiPriority w:val="99"/>
    <w:pPr>
      <w:tabs>
        <w:tab w:val="center" w:pos="4153"/>
        <w:tab w:val="right" w:pos="8306"/>
      </w:tabs>
      <w:jc w:val="center"/>
    </w:pPr>
    <w:rPr>
      <w:sz w:val="18"/>
      <w:szCs w:val="18"/>
    </w:rPr>
  </w:style>
  <w:style w:type="paragraph" w:styleId="9">
    <w:name w:val="toc 1"/>
    <w:basedOn w:val="1"/>
    <w:next w:val="1"/>
    <w:unhideWhenUsed/>
    <w:qFormat/>
    <w:uiPriority w:val="39"/>
  </w:style>
  <w:style w:type="paragraph" w:styleId="10">
    <w:name w:val="footnote text"/>
    <w:basedOn w:val="1"/>
    <w:link w:val="41"/>
    <w:semiHidden/>
    <w:unhideWhenUsed/>
    <w:qFormat/>
    <w:uiPriority w:val="99"/>
    <w:pPr>
      <w:jc w:val="left"/>
    </w:pPr>
    <w:rPr>
      <w:sz w:val="18"/>
      <w:szCs w:val="18"/>
    </w:rPr>
  </w:style>
  <w:style w:type="paragraph" w:styleId="11">
    <w:name w:val="toc 2"/>
    <w:basedOn w:val="1"/>
    <w:next w:val="1"/>
    <w:unhideWhenUsed/>
    <w:qFormat/>
    <w:uiPriority w:val="39"/>
    <w:pPr>
      <w:ind w:left="420" w:leftChars="200"/>
    </w:pPr>
  </w:style>
  <w:style w:type="paragraph" w:styleId="12">
    <w:name w:val="Title"/>
    <w:basedOn w:val="1"/>
    <w:next w:val="1"/>
    <w:link w:val="23"/>
    <w:qFormat/>
    <w:uiPriority w:val="10"/>
    <w:pPr>
      <w:spacing w:before="240" w:after="60"/>
      <w:ind w:firstLine="0" w:firstLineChars="0"/>
      <w:jc w:val="center"/>
      <w:outlineLvl w:val="0"/>
    </w:pPr>
    <w:rPr>
      <w:rFonts w:ascii="方正小标宋_GBK" w:hAnsi="等线 Light" w:eastAsia="方正小标宋_GBK" w:cs="Times New Roman"/>
      <w:b/>
      <w:bCs/>
      <w:sz w:val="44"/>
      <w:szCs w:val="44"/>
    </w:rPr>
  </w:style>
  <w:style w:type="paragraph" w:styleId="13">
    <w:name w:val="annotation subject"/>
    <w:basedOn w:val="5"/>
    <w:next w:val="5"/>
    <w:link w:val="34"/>
    <w:semiHidden/>
    <w:unhideWhenUsed/>
    <w:qFormat/>
    <w:uiPriority w:val="99"/>
    <w:rPr>
      <w:b/>
      <w:bCs/>
    </w:rPr>
  </w:style>
  <w:style w:type="character" w:styleId="16">
    <w:name w:val="Hyperlink"/>
    <w:basedOn w:val="15"/>
    <w:unhideWhenUsed/>
    <w:qFormat/>
    <w:uiPriority w:val="99"/>
    <w:rPr>
      <w:color w:val="0563C1"/>
      <w:u w:val="single"/>
    </w:rPr>
  </w:style>
  <w:style w:type="character" w:styleId="17">
    <w:name w:val="annotation reference"/>
    <w:basedOn w:val="15"/>
    <w:unhideWhenUsed/>
    <w:qFormat/>
    <w:uiPriority w:val="99"/>
    <w:rPr>
      <w:sz w:val="21"/>
      <w:szCs w:val="21"/>
    </w:rPr>
  </w:style>
  <w:style w:type="character" w:styleId="18">
    <w:name w:val="footnote reference"/>
    <w:basedOn w:val="15"/>
    <w:semiHidden/>
    <w:unhideWhenUsed/>
    <w:qFormat/>
    <w:uiPriority w:val="99"/>
    <w:rPr>
      <w:vertAlign w:val="superscript"/>
    </w:rPr>
  </w:style>
  <w:style w:type="character" w:customStyle="1" w:styleId="19">
    <w:name w:val="标题 1 字符"/>
    <w:basedOn w:val="15"/>
    <w:link w:val="2"/>
    <w:qFormat/>
    <w:uiPriority w:val="9"/>
    <w:rPr>
      <w:rFonts w:ascii="黑体" w:hAnsi="黑体" w:eastAsia="黑体" w:cs="仿宋_GB2312"/>
      <w:color w:val="000000"/>
      <w:kern w:val="2"/>
      <w:sz w:val="32"/>
      <w:szCs w:val="32"/>
    </w:rPr>
  </w:style>
  <w:style w:type="character" w:customStyle="1" w:styleId="20">
    <w:name w:val="标题 2 字符"/>
    <w:basedOn w:val="15"/>
    <w:link w:val="4"/>
    <w:qFormat/>
    <w:uiPriority w:val="9"/>
    <w:rPr>
      <w:rFonts w:ascii="楷体_GB2312" w:hAnsi="楷体" w:eastAsia="楷体_GB2312" w:cs="仿宋_GB2312"/>
      <w:bCs/>
      <w:color w:val="000000"/>
      <w:kern w:val="2"/>
      <w:sz w:val="32"/>
      <w:szCs w:val="32"/>
    </w:rPr>
  </w:style>
  <w:style w:type="character" w:customStyle="1" w:styleId="21">
    <w:name w:val="页脚 字符"/>
    <w:basedOn w:val="15"/>
    <w:link w:val="7"/>
    <w:qFormat/>
    <w:uiPriority w:val="99"/>
    <w:rPr>
      <w:sz w:val="18"/>
      <w:szCs w:val="18"/>
    </w:rPr>
  </w:style>
  <w:style w:type="character" w:customStyle="1" w:styleId="22">
    <w:name w:val="页眉 字符"/>
    <w:basedOn w:val="15"/>
    <w:link w:val="8"/>
    <w:qFormat/>
    <w:uiPriority w:val="99"/>
    <w:rPr>
      <w:sz w:val="18"/>
      <w:szCs w:val="18"/>
    </w:rPr>
  </w:style>
  <w:style w:type="character" w:customStyle="1" w:styleId="23">
    <w:name w:val="标题 字符"/>
    <w:basedOn w:val="15"/>
    <w:link w:val="12"/>
    <w:qFormat/>
    <w:uiPriority w:val="10"/>
    <w:rPr>
      <w:rFonts w:ascii="方正小标宋_GBK" w:hAnsi="等线 Light" w:eastAsia="方正小标宋_GBK" w:cs="Times New Roman"/>
      <w:b/>
      <w:bCs/>
      <w:color w:val="000000"/>
      <w:kern w:val="2"/>
      <w:sz w:val="44"/>
      <w:szCs w:val="44"/>
    </w:rPr>
  </w:style>
  <w:style w:type="paragraph" w:customStyle="1" w:styleId="24">
    <w:name w:val="修订1"/>
    <w:unhideWhenUsed/>
    <w:qFormat/>
    <w:uiPriority w:val="99"/>
    <w:pPr>
      <w:spacing w:after="160" w:line="278" w:lineRule="auto"/>
    </w:pPr>
    <w:rPr>
      <w:rFonts w:ascii="等线" w:hAnsi="等线" w:eastAsia="等线" w:cs="Times New Roman"/>
      <w:kern w:val="2"/>
      <w:sz w:val="21"/>
      <w:szCs w:val="22"/>
      <w:lang w:val="en-US" w:eastAsia="zh-CN" w:bidi="ar-SA"/>
    </w:rPr>
  </w:style>
  <w:style w:type="paragraph" w:customStyle="1" w:styleId="25">
    <w:name w:val="修订2"/>
    <w:unhideWhenUsed/>
    <w:qFormat/>
    <w:uiPriority w:val="99"/>
    <w:pPr>
      <w:spacing w:after="160" w:line="278" w:lineRule="auto"/>
    </w:pPr>
    <w:rPr>
      <w:rFonts w:ascii="等线" w:hAnsi="等线" w:eastAsia="等线" w:cs="Times New Roman"/>
      <w:kern w:val="2"/>
      <w:sz w:val="21"/>
      <w:szCs w:val="22"/>
      <w:lang w:val="en-US" w:eastAsia="zh-CN" w:bidi="ar-SA"/>
    </w:rPr>
  </w:style>
  <w:style w:type="paragraph" w:customStyle="1" w:styleId="26">
    <w:name w:val="TOC 标题1"/>
    <w:basedOn w:val="2"/>
    <w:next w:val="1"/>
    <w:unhideWhenUsed/>
    <w:qFormat/>
    <w:uiPriority w:val="39"/>
    <w:pPr>
      <w:keepNext/>
      <w:keepLines/>
      <w:widowControl/>
      <w:numPr>
        <w:numId w:val="0"/>
      </w:numPr>
      <w:adjustRightInd/>
      <w:snapToGrid/>
      <w:spacing w:before="240" w:line="259" w:lineRule="auto"/>
      <w:jc w:val="left"/>
      <w:outlineLvl w:val="9"/>
    </w:pPr>
    <w:rPr>
      <w:rFonts w:ascii="等线 Light" w:hAnsi="等线 Light" w:eastAsia="等线 Light" w:cs="Times New Roman"/>
      <w:color w:val="2F5496"/>
      <w:kern w:val="0"/>
    </w:rPr>
  </w:style>
  <w:style w:type="paragraph" w:customStyle="1" w:styleId="27">
    <w:name w:val="修订3"/>
    <w:unhideWhenUsed/>
    <w:qFormat/>
    <w:uiPriority w:val="99"/>
    <w:pPr>
      <w:spacing w:after="160" w:line="278" w:lineRule="auto"/>
    </w:pPr>
    <w:rPr>
      <w:rFonts w:ascii="仿宋_GB2312" w:hAnsi="仿宋_GB2312" w:eastAsia="仿宋_GB2312" w:cs="仿宋_GB2312"/>
      <w:color w:val="000000"/>
      <w:kern w:val="2"/>
      <w:sz w:val="32"/>
      <w:szCs w:val="32"/>
      <w:lang w:val="en-US" w:eastAsia="zh-CN" w:bidi="ar-SA"/>
    </w:rPr>
  </w:style>
  <w:style w:type="character" w:customStyle="1" w:styleId="28">
    <w:name w:val="NormalCharacter"/>
    <w:qFormat/>
    <w:uiPriority w:val="0"/>
  </w:style>
  <w:style w:type="paragraph" w:customStyle="1" w:styleId="29">
    <w:name w:val="修订4"/>
    <w:unhideWhenUsed/>
    <w:qFormat/>
    <w:uiPriority w:val="99"/>
    <w:pPr>
      <w:spacing w:after="160" w:line="278" w:lineRule="auto"/>
    </w:pPr>
    <w:rPr>
      <w:rFonts w:ascii="仿宋_GB2312" w:hAnsi="仿宋_GB2312" w:eastAsia="仿宋_GB2312" w:cs="仿宋_GB2312"/>
      <w:color w:val="000000"/>
      <w:kern w:val="2"/>
      <w:sz w:val="32"/>
      <w:szCs w:val="32"/>
      <w:lang w:val="en-US" w:eastAsia="zh-CN" w:bidi="ar-SA"/>
    </w:rPr>
  </w:style>
  <w:style w:type="paragraph" w:customStyle="1" w:styleId="30">
    <w:name w:val="Revision1"/>
    <w:hidden/>
    <w:unhideWhenUsed/>
    <w:qFormat/>
    <w:uiPriority w:val="99"/>
    <w:pPr>
      <w:spacing w:after="160" w:line="278" w:lineRule="auto"/>
    </w:pPr>
    <w:rPr>
      <w:rFonts w:ascii="仿宋_GB2312" w:hAnsi="仿宋_GB2312" w:eastAsia="仿宋_GB2312" w:cs="仿宋_GB2312"/>
      <w:color w:val="000000"/>
      <w:kern w:val="2"/>
      <w:sz w:val="32"/>
      <w:szCs w:val="32"/>
      <w:lang w:val="en-US" w:eastAsia="zh-CN" w:bidi="ar-SA"/>
    </w:rPr>
  </w:style>
  <w:style w:type="paragraph" w:customStyle="1" w:styleId="31">
    <w:name w:val="样式1"/>
    <w:basedOn w:val="1"/>
    <w:qFormat/>
    <w:uiPriority w:val="0"/>
    <w:pPr>
      <w:spacing w:line="360" w:lineRule="auto"/>
      <w:ind w:firstLine="640"/>
    </w:pPr>
    <w:rPr>
      <w:rFonts w:ascii="仿宋" w:hAnsi="仿宋" w:eastAsia="仿宋"/>
    </w:rPr>
  </w:style>
  <w:style w:type="paragraph" w:customStyle="1" w:styleId="32">
    <w:name w:val="修订5"/>
    <w:hidden/>
    <w:unhideWhenUsed/>
    <w:qFormat/>
    <w:uiPriority w:val="99"/>
    <w:pPr>
      <w:spacing w:after="160" w:line="278" w:lineRule="auto"/>
    </w:pPr>
    <w:rPr>
      <w:rFonts w:ascii="仿宋_GB2312" w:hAnsi="仿宋_GB2312" w:eastAsia="仿宋_GB2312" w:cs="仿宋_GB2312"/>
      <w:color w:val="000000"/>
      <w:kern w:val="2"/>
      <w:sz w:val="32"/>
      <w:szCs w:val="32"/>
      <w:lang w:val="en-US" w:eastAsia="zh-CN" w:bidi="ar-SA"/>
    </w:rPr>
  </w:style>
  <w:style w:type="character" w:customStyle="1" w:styleId="33">
    <w:name w:val="批注文字 字符"/>
    <w:basedOn w:val="15"/>
    <w:link w:val="5"/>
    <w:qFormat/>
    <w:uiPriority w:val="99"/>
    <w:rPr>
      <w:rFonts w:ascii="仿宋_GB2312" w:hAnsi="仿宋_GB2312" w:eastAsia="仿宋_GB2312" w:cs="仿宋_GB2312"/>
      <w:color w:val="000000"/>
      <w:kern w:val="2"/>
      <w:sz w:val="32"/>
      <w:szCs w:val="32"/>
    </w:rPr>
  </w:style>
  <w:style w:type="character" w:customStyle="1" w:styleId="34">
    <w:name w:val="批注主题 字符"/>
    <w:basedOn w:val="33"/>
    <w:link w:val="13"/>
    <w:semiHidden/>
    <w:qFormat/>
    <w:uiPriority w:val="99"/>
    <w:rPr>
      <w:rFonts w:ascii="仿宋_GB2312" w:hAnsi="仿宋_GB2312" w:eastAsia="仿宋_GB2312" w:cs="仿宋_GB2312"/>
      <w:b/>
      <w:bCs/>
      <w:color w:val="000000"/>
      <w:kern w:val="2"/>
      <w:sz w:val="32"/>
      <w:szCs w:val="32"/>
    </w:rPr>
  </w:style>
  <w:style w:type="paragraph" w:customStyle="1" w:styleId="35">
    <w:name w:val="修订6"/>
    <w:hidden/>
    <w:unhideWhenUsed/>
    <w:qFormat/>
    <w:uiPriority w:val="99"/>
    <w:pPr>
      <w:spacing w:after="160" w:line="278" w:lineRule="auto"/>
    </w:pPr>
    <w:rPr>
      <w:rFonts w:ascii="仿宋_GB2312" w:hAnsi="仿宋_GB2312" w:eastAsia="仿宋_GB2312" w:cs="仿宋_GB2312"/>
      <w:color w:val="000000"/>
      <w:kern w:val="2"/>
      <w:sz w:val="32"/>
      <w:szCs w:val="32"/>
      <w:lang w:val="en-US" w:eastAsia="zh-CN" w:bidi="ar-SA"/>
    </w:rPr>
  </w:style>
  <w:style w:type="paragraph" w:customStyle="1" w:styleId="36">
    <w:name w:val="修订7"/>
    <w:hidden/>
    <w:unhideWhenUsed/>
    <w:qFormat/>
    <w:uiPriority w:val="99"/>
    <w:pPr>
      <w:spacing w:after="160" w:line="278" w:lineRule="auto"/>
    </w:pPr>
    <w:rPr>
      <w:rFonts w:ascii="仿宋_GB2312" w:hAnsi="仿宋_GB2312" w:eastAsia="仿宋_GB2312" w:cs="仿宋_GB2312"/>
      <w:color w:val="000000"/>
      <w:kern w:val="2"/>
      <w:sz w:val="32"/>
      <w:szCs w:val="32"/>
      <w:lang w:val="en-US" w:eastAsia="zh-CN" w:bidi="ar-SA"/>
    </w:rPr>
  </w:style>
  <w:style w:type="paragraph" w:customStyle="1" w:styleId="37">
    <w:name w:val="修订8"/>
    <w:hidden/>
    <w:unhideWhenUsed/>
    <w:qFormat/>
    <w:uiPriority w:val="99"/>
    <w:pPr>
      <w:spacing w:after="160" w:line="278" w:lineRule="auto"/>
    </w:pPr>
    <w:rPr>
      <w:rFonts w:ascii="仿宋_GB2312" w:hAnsi="仿宋_GB2312" w:eastAsia="仿宋_GB2312" w:cs="仿宋_GB2312"/>
      <w:color w:val="000000"/>
      <w:kern w:val="2"/>
      <w:sz w:val="32"/>
      <w:szCs w:val="32"/>
      <w:lang w:val="en-US" w:eastAsia="zh-CN" w:bidi="ar-SA"/>
    </w:rPr>
  </w:style>
  <w:style w:type="paragraph" w:customStyle="1" w:styleId="38">
    <w:name w:val="修订9"/>
    <w:hidden/>
    <w:unhideWhenUsed/>
    <w:qFormat/>
    <w:uiPriority w:val="99"/>
    <w:pPr>
      <w:spacing w:after="160" w:line="278" w:lineRule="auto"/>
    </w:pPr>
    <w:rPr>
      <w:rFonts w:ascii="仿宋_GB2312" w:hAnsi="仿宋_GB2312" w:eastAsia="仿宋_GB2312" w:cs="仿宋_GB2312"/>
      <w:color w:val="000000"/>
      <w:kern w:val="2"/>
      <w:sz w:val="32"/>
      <w:szCs w:val="32"/>
      <w:lang w:val="en-US" w:eastAsia="zh-CN" w:bidi="ar-SA"/>
    </w:rPr>
  </w:style>
  <w:style w:type="character" w:customStyle="1" w:styleId="39">
    <w:name w:val="批注框文本 字符"/>
    <w:basedOn w:val="15"/>
    <w:link w:val="6"/>
    <w:semiHidden/>
    <w:qFormat/>
    <w:uiPriority w:val="99"/>
    <w:rPr>
      <w:rFonts w:ascii="仿宋_GB2312" w:hAnsi="仿宋_GB2312" w:eastAsia="仿宋_GB2312" w:cs="仿宋_GB2312"/>
      <w:color w:val="000000"/>
      <w:kern w:val="2"/>
      <w:sz w:val="18"/>
      <w:szCs w:val="18"/>
    </w:rPr>
  </w:style>
  <w:style w:type="paragraph" w:customStyle="1" w:styleId="40">
    <w:name w:val="修订10"/>
    <w:hidden/>
    <w:unhideWhenUsed/>
    <w:qFormat/>
    <w:uiPriority w:val="99"/>
    <w:pPr>
      <w:spacing w:after="160" w:line="278" w:lineRule="auto"/>
    </w:pPr>
    <w:rPr>
      <w:rFonts w:ascii="仿宋_GB2312" w:hAnsi="仿宋_GB2312" w:eastAsia="仿宋_GB2312" w:cs="仿宋_GB2312"/>
      <w:color w:val="000000"/>
      <w:kern w:val="2"/>
      <w:sz w:val="32"/>
      <w:szCs w:val="32"/>
      <w:lang w:val="en-US" w:eastAsia="zh-CN" w:bidi="ar-SA"/>
    </w:rPr>
  </w:style>
  <w:style w:type="character" w:customStyle="1" w:styleId="41">
    <w:name w:val="脚注文本 字符"/>
    <w:basedOn w:val="15"/>
    <w:link w:val="10"/>
    <w:semiHidden/>
    <w:qFormat/>
    <w:uiPriority w:val="99"/>
    <w:rPr>
      <w:rFonts w:ascii="仿宋_GB2312" w:hAnsi="仿宋_GB2312" w:eastAsia="仿宋_GB2312" w:cs="仿宋_GB2312"/>
      <w:color w:val="000000"/>
      <w:kern w:val="2"/>
      <w:sz w:val="18"/>
      <w:szCs w:val="18"/>
    </w:rPr>
  </w:style>
  <w:style w:type="paragraph" w:customStyle="1" w:styleId="42">
    <w:name w:val="脚注"/>
    <w:basedOn w:val="10"/>
    <w:link w:val="43"/>
    <w:qFormat/>
    <w:uiPriority w:val="0"/>
    <w:pPr>
      <w:spacing w:before="30" w:beforeLines="30" w:line="240" w:lineRule="auto"/>
      <w:jc w:val="both"/>
    </w:pPr>
    <w:rPr>
      <w:sz w:val="24"/>
      <w:szCs w:val="28"/>
    </w:rPr>
  </w:style>
  <w:style w:type="character" w:customStyle="1" w:styleId="43">
    <w:name w:val="脚注 字符"/>
    <w:basedOn w:val="41"/>
    <w:link w:val="42"/>
    <w:qFormat/>
    <w:uiPriority w:val="0"/>
    <w:rPr>
      <w:rFonts w:ascii="仿宋_GB2312" w:hAnsi="仿宋_GB2312" w:eastAsia="仿宋_GB2312" w:cs="仿宋_GB2312"/>
      <w:color w:val="000000"/>
      <w:kern w:val="2"/>
      <w:sz w:val="24"/>
      <w:szCs w:val="28"/>
    </w:rPr>
  </w:style>
  <w:style w:type="paragraph" w:customStyle="1" w:styleId="44">
    <w:name w:val="修订11"/>
    <w:hidden/>
    <w:unhideWhenUsed/>
    <w:qFormat/>
    <w:uiPriority w:val="99"/>
    <w:rPr>
      <w:rFonts w:ascii="仿宋_GB2312" w:hAnsi="仿宋_GB2312" w:eastAsia="仿宋_GB2312" w:cs="仿宋_GB2312"/>
      <w:color w:val="000000"/>
      <w:kern w:val="2"/>
      <w:sz w:val="32"/>
      <w:szCs w:val="32"/>
      <w:lang w:val="en-US" w:eastAsia="zh-CN" w:bidi="ar-SA"/>
    </w:rPr>
  </w:style>
  <w:style w:type="paragraph" w:customStyle="1" w:styleId="45">
    <w:name w:val="修订12"/>
    <w:hidden/>
    <w:unhideWhenUsed/>
    <w:qFormat/>
    <w:uiPriority w:val="99"/>
    <w:rPr>
      <w:rFonts w:ascii="仿宋_GB2312" w:hAnsi="仿宋_GB2312" w:eastAsia="仿宋_GB2312" w:cs="仿宋_GB2312"/>
      <w:color w:val="000000"/>
      <w:kern w:val="2"/>
      <w:sz w:val="32"/>
      <w:szCs w:val="32"/>
      <w:lang w:val="en-US" w:eastAsia="zh-CN" w:bidi="ar-SA"/>
    </w:rPr>
  </w:style>
  <w:style w:type="paragraph" w:customStyle="1" w:styleId="46">
    <w:name w:val="Revision"/>
    <w:hidden/>
    <w:unhideWhenUsed/>
    <w:qFormat/>
    <w:uiPriority w:val="99"/>
    <w:rPr>
      <w:rFonts w:ascii="仿宋_GB2312" w:hAnsi="仿宋_GB2312" w:eastAsia="仿宋_GB2312" w:cs="仿宋_GB2312"/>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1365</Words>
  <Characters>7787</Characters>
  <Lines>64</Lines>
  <Paragraphs>18</Paragraphs>
  <TotalTime>0</TotalTime>
  <ScaleCrop>false</ScaleCrop>
  <LinksUpToDate>false</LinksUpToDate>
  <CharactersWithSpaces>9134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2024-08-08T16:35:00Z</dcterms:created>
  <dc:creator>WANG Yongzhi</dc:creator>
  <cp:lastModifiedBy>user</cp:lastModifiedBy>
  <cp:lastPrinted>2024-07-21T22:43:00Z</cp:lastPrinted>
  <dcterms:modified xsi:type="dcterms:W3CDTF">2024-08-12T10:18:17Z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93DD28A4D6B54A4393C85F86BBA6E77D_13</vt:lpwstr>
  </property>
</Properties>
</file>