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附件1</w:t>
      </w:r>
    </w:p>
    <w:p>
      <w:pPr>
        <w:topLinePunct/>
        <w:snapToGrid w:val="0"/>
        <w:spacing w:line="560" w:lineRule="exact"/>
        <w:ind w:firstLine="420"/>
        <w:jc w:val="left"/>
        <w:rPr>
          <w:rFonts w:ascii="黑体" w:hAnsi="黑体" w:eastAsia="黑体" w:cs="方正小标宋简体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firstLine="0"/>
        <w:jc w:val="center"/>
        <w:textAlignment w:val="auto"/>
        <w:rPr>
          <w:rFonts w:ascii="方正小标宋_GBK" w:hAnsi="Nimbus Roman No9 L" w:eastAsia="方正小标宋_GBK" w:cs="方正小标宋简体"/>
          <w:spacing w:val="-20"/>
          <w:sz w:val="44"/>
          <w:szCs w:val="44"/>
        </w:rPr>
      </w:pPr>
      <w:r>
        <w:rPr>
          <w:rFonts w:hint="eastAsia" w:ascii="方正小标宋_GBK" w:hAnsi="Nimbus Roman No9 L" w:eastAsia="方正小标宋_GBK" w:cs="方正小标宋简体"/>
          <w:sz w:val="44"/>
          <w:szCs w:val="44"/>
        </w:rPr>
        <w:t>2023年度京津冀基础研究合作专项</w:t>
      </w:r>
      <w:r>
        <w:rPr>
          <w:rFonts w:hint="eastAsia" w:ascii="方正小标宋_GBK" w:hAnsi="Nimbus Roman No9 L" w:eastAsia="方正小标宋_GBK" w:cs="方正小标宋简体"/>
          <w:spacing w:val="-20"/>
          <w:sz w:val="44"/>
          <w:szCs w:val="44"/>
        </w:rPr>
        <w:t>指南</w:t>
      </w:r>
    </w:p>
    <w:p>
      <w:pPr>
        <w:widowControl/>
        <w:snapToGrid w:val="0"/>
        <w:spacing w:line="560" w:lineRule="exact"/>
        <w:ind w:firstLine="642" w:firstLineChars="200"/>
        <w:jc w:val="center"/>
        <w:rPr>
          <w:rFonts w:ascii="Nimbus Roman No9 L" w:hAnsi="Nimbus Roman No9 L" w:eastAsia="仿宋_GB2312" w:cs="仿宋"/>
          <w:b/>
          <w:bCs/>
          <w:sz w:val="32"/>
          <w:szCs w:val="32"/>
        </w:rPr>
      </w:pPr>
    </w:p>
    <w:p>
      <w:pPr>
        <w:widowControl/>
        <w:snapToGrid w:val="0"/>
        <w:spacing w:beforeLines="50" w:line="560" w:lineRule="exact"/>
        <w:ind w:firstLine="640" w:firstLineChars="200"/>
        <w:rPr>
          <w:rFonts w:ascii="Nimbus Roman No9 L" w:hAnsi="Nimbus Roman No9 L" w:eastAsia="仿宋_GB2312" w:cs="仿宋"/>
          <w:sz w:val="32"/>
          <w:szCs w:val="32"/>
        </w:rPr>
      </w:pPr>
      <w:r>
        <w:rPr>
          <w:rFonts w:hint="eastAsia" w:ascii="Nimbus Roman No9 L" w:hAnsi="Nimbus Roman No9 L" w:eastAsia="仿宋_GB2312" w:cs="仿宋"/>
          <w:sz w:val="32"/>
          <w:szCs w:val="32"/>
        </w:rPr>
        <w:t>为了贯彻落</w:t>
      </w:r>
      <w:bookmarkStart w:id="0" w:name="_GoBack"/>
      <w:bookmarkEnd w:id="0"/>
      <w:r>
        <w:rPr>
          <w:rFonts w:hint="eastAsia" w:ascii="Nimbus Roman No9 L" w:hAnsi="Nimbus Roman No9 L" w:eastAsia="仿宋_GB2312" w:cs="仿宋"/>
          <w:sz w:val="32"/>
          <w:szCs w:val="32"/>
        </w:rPr>
        <w:t>实京津冀协同发展国家战略，2023年重点围绕生物医药领域开展京津冀基础研究合作专项资助工作，探索设立需求导向类指南（指南方向12、13须完成指南绩效指标）。通过充分整合三地生物医药研究和产业优势资源，进一步推动京津冀生物医药领域的技术融合及协同创新。</w:t>
      </w:r>
    </w:p>
    <w:p>
      <w:pPr>
        <w:widowControl/>
        <w:snapToGrid w:val="0"/>
        <w:spacing w:line="560" w:lineRule="exact"/>
        <w:ind w:firstLine="642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指南方向：</w:t>
      </w:r>
    </w:p>
    <w:p>
      <w:pPr>
        <w:widowControl/>
        <w:snapToGrid w:val="0"/>
        <w:spacing w:line="560" w:lineRule="exact"/>
        <w:ind w:firstLine="642" w:firstLineChars="200"/>
        <w:rPr>
          <w:rFonts w:ascii="Nimbus Roman No9 L" w:hAnsi="Nimbus Roman No9 L" w:eastAsia="仿宋_GB2312" w:cs="仿宋"/>
          <w:b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1.组织器官再生修复</w:t>
      </w:r>
    </w:p>
    <w:p>
      <w:pPr>
        <w:widowControl/>
        <w:snapToGrid w:val="0"/>
        <w:spacing w:line="560" w:lineRule="exact"/>
        <w:ind w:firstLine="640" w:firstLineChars="200"/>
        <w:rPr>
          <w:rFonts w:ascii="Nimbus Roman No9 L" w:hAnsi="Nimbus Roman No9 L" w:eastAsia="仿宋_GB2312" w:cs="仿宋"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Cs/>
          <w:sz w:val="32"/>
          <w:szCs w:val="32"/>
        </w:rPr>
        <w:t>面向组织器官再生修复的临床需求，探讨损伤及再生修复机制，开展组织工程、细胞及其衍生物治疗、类器官、基因治疗、生物材料研制、安全性评价等方面研究，探索组织器官再生修复机制和新技术，促进医药健康领域创新发展。</w:t>
      </w:r>
    </w:p>
    <w:p>
      <w:pPr>
        <w:widowControl/>
        <w:snapToGrid w:val="0"/>
        <w:spacing w:line="560" w:lineRule="exact"/>
        <w:ind w:firstLine="642" w:firstLineChars="200"/>
        <w:rPr>
          <w:rFonts w:ascii="Nimbus Roman No9 L" w:hAnsi="Nimbus Roman No9 L" w:eastAsia="仿宋_GB2312" w:cs="仿宋"/>
          <w:b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2.肿瘤免疫与逃逸</w:t>
      </w:r>
    </w:p>
    <w:p>
      <w:pPr>
        <w:widowControl/>
        <w:snapToGrid w:val="0"/>
        <w:spacing w:line="560" w:lineRule="exact"/>
        <w:ind w:firstLine="640" w:firstLineChars="200"/>
        <w:rPr>
          <w:rFonts w:ascii="Nimbus Roman No9 L" w:hAnsi="Nimbus Roman No9 L" w:eastAsia="仿宋_GB2312" w:cs="仿宋"/>
          <w:sz w:val="32"/>
          <w:szCs w:val="32"/>
        </w:rPr>
      </w:pPr>
      <w:r>
        <w:rPr>
          <w:rFonts w:hint="eastAsia" w:ascii="Nimbus Roman No9 L" w:hAnsi="Nimbus Roman No9 L" w:eastAsia="仿宋_GB2312" w:cs="仿宋"/>
          <w:sz w:val="32"/>
          <w:szCs w:val="32"/>
        </w:rPr>
        <w:t>以肿瘤免疫和逃逸为切入点，阐明免疫调控肿瘤逃逸的机制，发现肿瘤干预新靶标，鉴定对肿瘤免疫逃逸及肿瘤免疫治疗具有调控作用的功能性分子，为有效预防和治疗肿瘤提供支撑。</w:t>
      </w:r>
    </w:p>
    <w:p>
      <w:pPr>
        <w:widowControl/>
        <w:snapToGrid w:val="0"/>
        <w:spacing w:line="560" w:lineRule="exact"/>
        <w:ind w:firstLine="642" w:firstLineChars="200"/>
        <w:rPr>
          <w:rFonts w:ascii="Nimbus Roman No9 L" w:hAnsi="Nimbus Roman No9 L" w:eastAsia="仿宋_GB2312" w:cs="仿宋"/>
          <w:b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3.肠道微生态与人类重大疾病</w:t>
      </w:r>
    </w:p>
    <w:p>
      <w:pPr>
        <w:widowControl/>
        <w:snapToGrid w:val="0"/>
        <w:spacing w:line="560" w:lineRule="exact"/>
        <w:ind w:firstLine="640" w:firstLineChars="200"/>
        <w:rPr>
          <w:rFonts w:ascii="Nimbus Roman No9 L" w:hAnsi="Nimbus Roman No9 L" w:eastAsia="仿宋_GB2312" w:cs="仿宋"/>
          <w:sz w:val="32"/>
          <w:szCs w:val="32"/>
        </w:rPr>
      </w:pPr>
      <w:r>
        <w:rPr>
          <w:rFonts w:hint="eastAsia" w:ascii="Nimbus Roman No9 L" w:hAnsi="Nimbus Roman No9 L" w:eastAsia="仿宋_GB2312" w:cs="仿宋"/>
          <w:sz w:val="32"/>
          <w:szCs w:val="32"/>
        </w:rPr>
        <w:t>针对肠道微生物领域的相关科学问题，开展肠道菌群与宿主相互作用机制、</w:t>
      </w:r>
      <w:r>
        <w:rPr>
          <w:rFonts w:hint="eastAsia" w:ascii="Nimbus Roman No9 L" w:hAnsi="Nimbus Roman No9 L" w:eastAsia="仿宋_GB2312" w:cs="仿宋"/>
          <w:color w:val="000000" w:themeColor="text1"/>
          <w:sz w:val="32"/>
          <w:szCs w:val="32"/>
        </w:rPr>
        <w:t>环境因素与菌群</w:t>
      </w:r>
      <w:r>
        <w:rPr>
          <w:rFonts w:hint="eastAsia" w:ascii="Nimbus Roman No9 L" w:hAnsi="Nimbus Roman No9 L" w:eastAsia="仿宋_GB2312" w:cs="仿宋"/>
          <w:sz w:val="32"/>
          <w:szCs w:val="32"/>
        </w:rPr>
        <w:t>互作、肠道微生态时空作用、肠道菌群数据挖掘等研究，阐明肠道菌群与人类重大疾病的关系及其调控机制，提升疾病预防和治疗水平。</w:t>
      </w:r>
    </w:p>
    <w:p>
      <w:pPr>
        <w:widowControl/>
        <w:snapToGrid w:val="0"/>
        <w:spacing w:line="560" w:lineRule="exact"/>
        <w:ind w:firstLine="642" w:firstLineChars="200"/>
        <w:rPr>
          <w:rFonts w:ascii="Nimbus Roman No9 L" w:hAnsi="Nimbus Roman No9 L" w:eastAsia="仿宋_GB2312" w:cs="仿宋"/>
          <w:b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/>
          <w:bCs/>
          <w:color w:val="000000" w:themeColor="text1"/>
          <w:sz w:val="32"/>
          <w:szCs w:val="32"/>
        </w:rPr>
        <w:t>4.</w:t>
      </w: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自身免疫病</w:t>
      </w:r>
    </w:p>
    <w:p>
      <w:pPr>
        <w:widowControl/>
        <w:snapToGrid w:val="0"/>
        <w:spacing w:line="560" w:lineRule="exact"/>
        <w:ind w:firstLine="640" w:firstLineChars="200"/>
        <w:rPr>
          <w:rFonts w:ascii="Nimbus Roman No9 L" w:hAnsi="Nimbus Roman No9 L" w:eastAsia="仿宋_GB2312" w:cs="仿宋"/>
          <w:sz w:val="32"/>
          <w:szCs w:val="32"/>
        </w:rPr>
      </w:pPr>
      <w:r>
        <w:rPr>
          <w:rFonts w:hint="eastAsia" w:ascii="Nimbus Roman No9 L" w:hAnsi="Nimbus Roman No9 L" w:eastAsia="仿宋_GB2312" w:cs="仿宋"/>
          <w:sz w:val="32"/>
          <w:szCs w:val="32"/>
        </w:rPr>
        <w:t>面向自身免疫病临床诊断和治疗需求，研究自身免疫病的发生与免疫失衡的分子机制，寻找免疫干预新靶点和新型生物标志物，探索免疫治疗等新方法、新技术，为自身免疫病的诊断和治疗提供科技支撑。</w:t>
      </w:r>
    </w:p>
    <w:p>
      <w:pPr>
        <w:widowControl/>
        <w:snapToGrid w:val="0"/>
        <w:spacing w:line="560" w:lineRule="exact"/>
        <w:ind w:firstLine="642" w:firstLineChars="200"/>
        <w:rPr>
          <w:rFonts w:ascii="Nimbus Roman No9 L" w:hAnsi="Nimbus Roman No9 L" w:eastAsia="仿宋_GB2312" w:cs="仿宋"/>
          <w:b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5.新型药物递送</w:t>
      </w:r>
    </w:p>
    <w:p>
      <w:pPr>
        <w:widowControl/>
        <w:snapToGrid w:val="0"/>
        <w:spacing w:line="560" w:lineRule="exact"/>
        <w:ind w:firstLine="640" w:firstLineChars="200"/>
        <w:rPr>
          <w:rFonts w:ascii="Nimbus Roman No9 L" w:hAnsi="Nimbus Roman No9 L" w:eastAsia="仿宋_GB2312" w:cs="仿宋"/>
          <w:sz w:val="32"/>
          <w:szCs w:val="32"/>
        </w:rPr>
      </w:pPr>
      <w:r>
        <w:rPr>
          <w:rFonts w:hint="eastAsia" w:ascii="Nimbus Roman No9 L" w:hAnsi="Nimbus Roman No9 L" w:eastAsia="仿宋_GB2312" w:cs="仿宋"/>
          <w:sz w:val="32"/>
          <w:szCs w:val="32"/>
        </w:rPr>
        <w:t>面向创新药物递释技术发展需求，开展新型药物递释系统的设计优化，包括口服纳米递释系统、靶向蛋白降解载体系统、大分子药物载体递释系统等，研究阐明吸收转运机制、药物载体递释机制等，</w:t>
      </w:r>
      <w:r>
        <w:rPr>
          <w:rFonts w:hint="eastAsia" w:ascii="Nimbus Roman No9 L" w:hAnsi="Nimbus Roman No9 L" w:eastAsia="仿宋_GB2312"/>
          <w:sz w:val="32"/>
          <w:szCs w:val="32"/>
        </w:rPr>
        <w:t>为创新药物制剂提供科技支撑</w:t>
      </w:r>
      <w:r>
        <w:rPr>
          <w:rFonts w:hint="eastAsia" w:ascii="Nimbus Roman No9 L" w:hAnsi="Nimbus Roman No9 L" w:eastAsia="仿宋_GB2312" w:cs="仿宋"/>
          <w:sz w:val="32"/>
          <w:szCs w:val="32"/>
        </w:rPr>
        <w:t>。</w:t>
      </w:r>
    </w:p>
    <w:p>
      <w:pPr>
        <w:widowControl/>
        <w:snapToGrid w:val="0"/>
        <w:spacing w:line="560" w:lineRule="exact"/>
        <w:ind w:firstLine="642" w:firstLineChars="200"/>
        <w:rPr>
          <w:rFonts w:ascii="Nimbus Roman No9 L" w:hAnsi="Nimbus Roman No9 L" w:eastAsia="仿宋_GB2312" w:cs="仿宋"/>
          <w:b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6.中药新品种研究</w:t>
      </w:r>
    </w:p>
    <w:p>
      <w:pPr>
        <w:widowControl/>
        <w:snapToGrid w:val="0"/>
        <w:spacing w:line="560" w:lineRule="exact"/>
        <w:ind w:firstLine="636"/>
        <w:rPr>
          <w:rFonts w:ascii="Nimbus Roman No9 L" w:hAnsi="Nimbus Roman No9 L" w:eastAsia="仿宋_GB2312" w:cs="仿宋"/>
          <w:sz w:val="32"/>
          <w:szCs w:val="32"/>
        </w:rPr>
      </w:pPr>
      <w:r>
        <w:rPr>
          <w:rFonts w:hint="eastAsia" w:ascii="Nimbus Roman No9 L" w:hAnsi="Nimbus Roman No9 L" w:eastAsia="仿宋_GB2312" w:cs="仿宋"/>
          <w:sz w:val="32"/>
          <w:szCs w:val="32"/>
        </w:rPr>
        <w:t>基于临床具有显著疗效的经典名方或中药验方，采用多学科融合技术，开展活性物质基础、配伍规律和作用机制研究，构建符合中医药特色的创新中药新技术，为研发具有临床价值的中药新品种提供支撑。</w:t>
      </w:r>
    </w:p>
    <w:p>
      <w:pPr>
        <w:widowControl/>
        <w:snapToGrid w:val="0"/>
        <w:spacing w:line="560" w:lineRule="exact"/>
        <w:ind w:firstLine="642" w:firstLineChars="200"/>
        <w:rPr>
          <w:rFonts w:ascii="Nimbus Roman No9 L" w:hAnsi="Nimbus Roman No9 L" w:eastAsia="仿宋_GB2312" w:cs="仿宋"/>
          <w:b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7.中医治则治法研究</w:t>
      </w:r>
    </w:p>
    <w:p>
      <w:pPr>
        <w:widowControl/>
        <w:snapToGrid w:val="0"/>
        <w:spacing w:line="560" w:lineRule="exact"/>
        <w:ind w:firstLine="640" w:firstLineChars="200"/>
        <w:rPr>
          <w:rFonts w:ascii="Nimbus Roman No9 L" w:hAnsi="Nimbus Roman No9 L" w:eastAsia="仿宋_GB2312" w:cs="仿宋"/>
          <w:sz w:val="32"/>
          <w:szCs w:val="32"/>
        </w:rPr>
      </w:pPr>
      <w:r>
        <w:rPr>
          <w:rFonts w:hint="eastAsia" w:ascii="Nimbus Roman No9 L" w:hAnsi="Nimbus Roman No9 L" w:eastAsia="仿宋_GB2312" w:cs="仿宋"/>
          <w:sz w:val="32"/>
          <w:szCs w:val="32"/>
        </w:rPr>
        <w:t>针对肿瘤或其它重大疾病等中医临床优势病种和治疗需求，采用多学科方法探究治则治法的生物学基础，揭示中医药理论的科学内涵，为中医药理论指导下的临床治疗方案提供技术支持。</w:t>
      </w:r>
    </w:p>
    <w:p>
      <w:pPr>
        <w:ind w:firstLine="642" w:firstLineChars="200"/>
        <w:rPr>
          <w:rFonts w:ascii="Nimbus Roman No9 L" w:hAnsi="Nimbus Roman No9 L" w:eastAsia="仿宋_GB2312" w:cs="仿宋"/>
          <w:b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8.神经精神类疾病</w:t>
      </w:r>
      <w:r>
        <w:rPr>
          <w:rFonts w:ascii="Nimbus Roman No9 L" w:hAnsi="Nimbus Roman No9 L" w:eastAsia="仿宋_GB2312" w:cs="仿宋"/>
          <w:b/>
          <w:bCs/>
          <w:sz w:val="32"/>
          <w:szCs w:val="32"/>
        </w:rPr>
        <w:t>的机制</w:t>
      </w: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研究</w:t>
      </w:r>
    </w:p>
    <w:p>
      <w:pPr>
        <w:ind w:firstLine="640" w:firstLineChars="200"/>
        <w:rPr>
          <w:rFonts w:ascii="Nimbus Roman No9 L" w:hAnsi="Nimbus Roman No9 L" w:eastAsia="仿宋_GB2312" w:cs="仿宋"/>
          <w:sz w:val="32"/>
          <w:szCs w:val="32"/>
        </w:rPr>
      </w:pPr>
      <w:r>
        <w:rPr>
          <w:rFonts w:hint="eastAsia" w:ascii="Nimbus Roman No9 L" w:hAnsi="Nimbus Roman No9 L" w:eastAsia="仿宋_GB2312" w:cs="仿宋"/>
          <w:sz w:val="32"/>
          <w:szCs w:val="32"/>
        </w:rPr>
        <w:t>针对神经精神类重大疾病，尤其是青少年孤独症（自闭症）、抑郁症等，</w:t>
      </w:r>
      <w:r>
        <w:rPr>
          <w:rFonts w:ascii="Nimbus Roman No9 L" w:hAnsi="Nimbus Roman No9 L" w:eastAsia="仿宋_GB2312" w:cs="仿宋"/>
          <w:sz w:val="32"/>
          <w:szCs w:val="32"/>
        </w:rPr>
        <w:t>阐明病理机制和发展规律，发现可以用于</w:t>
      </w:r>
      <w:r>
        <w:rPr>
          <w:rFonts w:hint="eastAsia" w:ascii="Nimbus Roman No9 L" w:hAnsi="Nimbus Roman No9 L" w:eastAsia="仿宋_GB2312" w:cs="仿宋"/>
          <w:sz w:val="32"/>
          <w:szCs w:val="32"/>
        </w:rPr>
        <w:t>神经精神类疾病</w:t>
      </w:r>
      <w:r>
        <w:rPr>
          <w:rFonts w:ascii="Nimbus Roman No9 L" w:hAnsi="Nimbus Roman No9 L" w:eastAsia="仿宋_GB2312" w:cs="仿宋"/>
          <w:sz w:val="32"/>
          <w:szCs w:val="32"/>
        </w:rPr>
        <w:t>早期筛查和诊断的生物</w:t>
      </w:r>
      <w:r>
        <w:rPr>
          <w:rFonts w:hint="eastAsia" w:ascii="Nimbus Roman No9 L" w:hAnsi="Nimbus Roman No9 L" w:eastAsia="仿宋_GB2312" w:cs="仿宋"/>
          <w:sz w:val="32"/>
          <w:szCs w:val="32"/>
        </w:rPr>
        <w:t>标志</w:t>
      </w:r>
      <w:r>
        <w:rPr>
          <w:rFonts w:ascii="Nimbus Roman No9 L" w:hAnsi="Nimbus Roman No9 L" w:eastAsia="仿宋_GB2312" w:cs="仿宋"/>
          <w:sz w:val="32"/>
          <w:szCs w:val="32"/>
        </w:rPr>
        <w:t>物，</w:t>
      </w:r>
      <w:r>
        <w:rPr>
          <w:rFonts w:hint="eastAsia" w:ascii="Nimbus Roman No9 L" w:hAnsi="Nimbus Roman No9 L" w:eastAsia="仿宋_GB2312" w:cs="仿宋"/>
          <w:sz w:val="32"/>
          <w:szCs w:val="32"/>
        </w:rPr>
        <w:t>为该类疾病</w:t>
      </w:r>
      <w:r>
        <w:rPr>
          <w:rFonts w:ascii="Nimbus Roman No9 L" w:hAnsi="Nimbus Roman No9 L" w:eastAsia="仿宋_GB2312" w:cs="仿宋"/>
          <w:sz w:val="32"/>
          <w:szCs w:val="32"/>
        </w:rPr>
        <w:t>大规模筛查与辅助诊断</w:t>
      </w:r>
      <w:r>
        <w:rPr>
          <w:rFonts w:hint="eastAsia" w:ascii="Nimbus Roman No9 L" w:hAnsi="Nimbus Roman No9 L" w:eastAsia="仿宋_GB2312" w:cs="仿宋"/>
          <w:sz w:val="32"/>
          <w:szCs w:val="32"/>
        </w:rPr>
        <w:t>治疗提供科技支撑。</w:t>
      </w:r>
    </w:p>
    <w:p>
      <w:pPr>
        <w:ind w:firstLine="642" w:firstLineChars="200"/>
        <w:rPr>
          <w:rFonts w:ascii="Nimbus Roman No9 L" w:hAnsi="Nimbus Roman No9 L" w:eastAsia="仿宋_GB2312" w:cs="仿宋"/>
          <w:b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9.合成生物学与医药新技术</w:t>
      </w:r>
    </w:p>
    <w:p>
      <w:pPr>
        <w:widowControl/>
        <w:snapToGrid w:val="0"/>
        <w:spacing w:line="560" w:lineRule="exact"/>
        <w:ind w:firstLine="640" w:firstLineChars="200"/>
        <w:rPr>
          <w:rFonts w:ascii="Nimbus Roman No9 L" w:hAnsi="Nimbus Roman No9 L" w:eastAsia="仿宋_GB2312" w:cs="仿宋"/>
          <w:sz w:val="32"/>
          <w:szCs w:val="32"/>
        </w:rPr>
      </w:pPr>
      <w:r>
        <w:rPr>
          <w:rFonts w:hint="eastAsia" w:ascii="Nimbus Roman No9 L" w:hAnsi="Nimbus Roman No9 L" w:eastAsia="仿宋_GB2312" w:cs="仿宋"/>
          <w:sz w:val="32"/>
          <w:szCs w:val="32"/>
        </w:rPr>
        <w:t>利用合成生物学新技术，制备新型抗体、蛋白质、细胞等，改造病毒和细菌等工具，降低毒副作用和免疫源性等，提升疾病诊断和治疗水平，为生物医药的升级换代提供支撑。</w:t>
      </w:r>
    </w:p>
    <w:p>
      <w:pPr>
        <w:ind w:firstLine="642" w:firstLineChars="200"/>
        <w:rPr>
          <w:rFonts w:ascii="Nimbus Roman No9 L" w:hAnsi="Nimbus Roman No9 L" w:eastAsia="仿宋_GB2312" w:cs="仿宋"/>
          <w:b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10.肿瘤耐药机制与靶标发现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以抗肿瘤药物为切入点，阐明肿瘤患者耐药相关机制，鉴定对肿瘤转移和耐药具有调控作用的功能性分子，发现疗效预测的生物标志物及干预新靶点，为研发新型抗肿瘤药物提供支撑。</w:t>
      </w:r>
    </w:p>
    <w:p>
      <w:pPr>
        <w:ind w:firstLine="642" w:firstLineChars="200"/>
        <w:rPr>
          <w:rFonts w:ascii="Nimbus Roman No9 L" w:hAnsi="Nimbus Roman No9 L" w:eastAsia="仿宋_GB2312" w:cs="仿宋"/>
          <w:b/>
          <w:bCs/>
          <w:sz w:val="32"/>
          <w:szCs w:val="32"/>
        </w:rPr>
      </w:pPr>
      <w:r>
        <w:rPr>
          <w:rFonts w:hint="eastAsia" w:ascii="Nimbus Roman No9 L" w:hAnsi="Nimbus Roman No9 L" w:eastAsia="仿宋_GB2312" w:cs="仿宋"/>
          <w:b/>
          <w:bCs/>
          <w:sz w:val="32"/>
          <w:szCs w:val="32"/>
        </w:rPr>
        <w:t>11.代谢微环境与心血管病研究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以代谢微环境为切入点，研究心血管系统疾病发生发展过程中小分子代谢产物，解析其在心血管细胞代谢、免疫反应及心血管损伤与重构的作用与调控机理，为研发新型药物、基因和干细胞治疗等提供支撑。</w:t>
      </w:r>
    </w:p>
    <w:p>
      <w:pPr>
        <w:adjustRightInd w:val="0"/>
        <w:snapToGrid w:val="0"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12.智能脊柱手术机器人系统创新研究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面向脊柱手术的精准化、微创化与智能化临床需求，重点突破脊柱手术</w:t>
      </w:r>
      <w:r>
        <w:rPr>
          <w:rFonts w:ascii="Times New Roman" w:hAnsi="Times New Roman" w:eastAsia="仿宋_GB2312"/>
          <w:kern w:val="0"/>
          <w:sz w:val="32"/>
          <w:szCs w:val="32"/>
        </w:rPr>
        <w:t>机器人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系统构型创新</w:t>
      </w:r>
      <w:r>
        <w:rPr>
          <w:rFonts w:ascii="Times New Roman" w:hAnsi="Times New Roman" w:eastAsia="仿宋_GB2312"/>
          <w:kern w:val="0"/>
          <w:sz w:val="32"/>
          <w:szCs w:val="32"/>
        </w:rPr>
        <w:t>设计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、力触交互控制、安全与可靠性等共性关键技术，研制高精度灵活智能脊柱手术机器人系统并应用。</w:t>
      </w:r>
    </w:p>
    <w:p>
      <w:pPr>
        <w:widowControl/>
        <w:adjustRightInd w:val="0"/>
        <w:snapToGrid w:val="0"/>
        <w:spacing w:line="600" w:lineRule="exact"/>
        <w:ind w:firstLine="642" w:firstLineChars="200"/>
        <w:jc w:val="lef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绩效目标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: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研发</w:t>
      </w:r>
      <w:r>
        <w:rPr>
          <w:rFonts w:ascii="Times New Roman" w:hAnsi="Times New Roman" w:eastAsia="仿宋_GB2312"/>
          <w:kern w:val="0"/>
          <w:sz w:val="32"/>
          <w:szCs w:val="32"/>
        </w:rPr>
        <w:t>用于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脊柱</w:t>
      </w:r>
      <w:r>
        <w:rPr>
          <w:rFonts w:ascii="Times New Roman" w:hAnsi="Times New Roman" w:eastAsia="仿宋_GB2312"/>
          <w:kern w:val="0"/>
          <w:sz w:val="32"/>
          <w:szCs w:val="32"/>
        </w:rPr>
        <w:t>手术的智能手术机器人系统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（自由度不低于6，系统定位误差不大于1</w:t>
      </w:r>
      <w:r>
        <w:rPr>
          <w:rFonts w:ascii="Times New Roman" w:hAnsi="Times New Roman" w:eastAsia="仿宋_GB2312"/>
          <w:kern w:val="0"/>
          <w:sz w:val="32"/>
          <w:szCs w:val="32"/>
        </w:rPr>
        <w:t>.0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mm）</w:t>
      </w:r>
      <w:r>
        <w:rPr>
          <w:rFonts w:ascii="Times New Roman" w:hAnsi="Times New Roman" w:eastAsia="仿宋_GB2312"/>
          <w:kern w:val="0"/>
          <w:sz w:val="32"/>
          <w:szCs w:val="32"/>
        </w:rPr>
        <w:t>，在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代表性</w:t>
      </w:r>
      <w:r>
        <w:rPr>
          <w:rFonts w:ascii="Times New Roman" w:hAnsi="Times New Roman" w:eastAsia="仿宋_GB2312"/>
          <w:kern w:val="0"/>
          <w:sz w:val="32"/>
          <w:szCs w:val="32"/>
        </w:rPr>
        <w:t>动物实验中完成示范应用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并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完成临床前研究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本方向鼓励科研团队与企业联合申报。</w:t>
      </w:r>
    </w:p>
    <w:p>
      <w:pPr>
        <w:adjustRightInd w:val="0"/>
        <w:snapToGrid w:val="0"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13.抗衰老中药研制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在中医药抗衰老相关理论指导下，基于古代典籍及现代文献构建数字化、标准化的抗衰老方药数据库，对防治衰老方药进行分类和数据挖掘，形成候选方剂，阐明其抗衰老药效物质基础并揭示作用机制，促进创新药物转化。</w:t>
      </w:r>
    </w:p>
    <w:p>
      <w:pPr>
        <w:adjustRightInd w:val="0"/>
        <w:snapToGrid w:val="0"/>
        <w:spacing w:line="600" w:lineRule="exact"/>
        <w:ind w:firstLine="642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绩效目标：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①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获得1-2首抗衰老药效物质基础与作用机制明确的候选方剂。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②完成至少1项候选方剂的临床前研究，提交临床试验申请并获得受理号。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Nimbus Roman No9 L" w:hAnsi="Nimbus Roman No9 L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本方向鼓励科研团队与企业联合申报。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305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kMzEwN2I3NmVlZTVjYTVkZGI1MzlmODZhMWU1NWEifQ=="/>
  </w:docVars>
  <w:rsids>
    <w:rsidRoot w:val="00E97984"/>
    <w:rsid w:val="000452B6"/>
    <w:rsid w:val="00047B54"/>
    <w:rsid w:val="00066F65"/>
    <w:rsid w:val="00075D4E"/>
    <w:rsid w:val="00076326"/>
    <w:rsid w:val="0008286C"/>
    <w:rsid w:val="00083F51"/>
    <w:rsid w:val="000A3334"/>
    <w:rsid w:val="000A51EB"/>
    <w:rsid w:val="000F3182"/>
    <w:rsid w:val="00100166"/>
    <w:rsid w:val="0011121C"/>
    <w:rsid w:val="00136199"/>
    <w:rsid w:val="00145518"/>
    <w:rsid w:val="001479CF"/>
    <w:rsid w:val="00154B24"/>
    <w:rsid w:val="00165805"/>
    <w:rsid w:val="00166D4E"/>
    <w:rsid w:val="00185186"/>
    <w:rsid w:val="00210699"/>
    <w:rsid w:val="00245BA1"/>
    <w:rsid w:val="00251EE5"/>
    <w:rsid w:val="00255F05"/>
    <w:rsid w:val="002A52E5"/>
    <w:rsid w:val="002C3B3E"/>
    <w:rsid w:val="002D11AD"/>
    <w:rsid w:val="0030067E"/>
    <w:rsid w:val="00314B55"/>
    <w:rsid w:val="00345413"/>
    <w:rsid w:val="00355B1A"/>
    <w:rsid w:val="003561AB"/>
    <w:rsid w:val="00387238"/>
    <w:rsid w:val="003915F6"/>
    <w:rsid w:val="003A79A8"/>
    <w:rsid w:val="003B77D3"/>
    <w:rsid w:val="003C3A9D"/>
    <w:rsid w:val="003E1C6F"/>
    <w:rsid w:val="003E34E5"/>
    <w:rsid w:val="0040665D"/>
    <w:rsid w:val="004635B3"/>
    <w:rsid w:val="004A3058"/>
    <w:rsid w:val="004C147C"/>
    <w:rsid w:val="004E1380"/>
    <w:rsid w:val="004F2541"/>
    <w:rsid w:val="00505DA7"/>
    <w:rsid w:val="0051191A"/>
    <w:rsid w:val="00512BDB"/>
    <w:rsid w:val="005514C2"/>
    <w:rsid w:val="00553B24"/>
    <w:rsid w:val="00573ACE"/>
    <w:rsid w:val="005B7A1C"/>
    <w:rsid w:val="005F0A42"/>
    <w:rsid w:val="005F7641"/>
    <w:rsid w:val="006033AF"/>
    <w:rsid w:val="00620C08"/>
    <w:rsid w:val="00631A0A"/>
    <w:rsid w:val="00636AED"/>
    <w:rsid w:val="00671218"/>
    <w:rsid w:val="006805A1"/>
    <w:rsid w:val="00686941"/>
    <w:rsid w:val="006C2288"/>
    <w:rsid w:val="006C68F2"/>
    <w:rsid w:val="006E09D3"/>
    <w:rsid w:val="00702C57"/>
    <w:rsid w:val="007034B9"/>
    <w:rsid w:val="007272C1"/>
    <w:rsid w:val="00742954"/>
    <w:rsid w:val="00765DF5"/>
    <w:rsid w:val="00767A28"/>
    <w:rsid w:val="00782F22"/>
    <w:rsid w:val="00790C87"/>
    <w:rsid w:val="00793715"/>
    <w:rsid w:val="007C639E"/>
    <w:rsid w:val="007E1A7E"/>
    <w:rsid w:val="007E2601"/>
    <w:rsid w:val="007F7D48"/>
    <w:rsid w:val="00831837"/>
    <w:rsid w:val="00835AC8"/>
    <w:rsid w:val="008366B7"/>
    <w:rsid w:val="0089286A"/>
    <w:rsid w:val="00894439"/>
    <w:rsid w:val="008B33A1"/>
    <w:rsid w:val="008E2A70"/>
    <w:rsid w:val="008F694E"/>
    <w:rsid w:val="00903BE3"/>
    <w:rsid w:val="00907E12"/>
    <w:rsid w:val="00946786"/>
    <w:rsid w:val="00956543"/>
    <w:rsid w:val="0096241D"/>
    <w:rsid w:val="009719F1"/>
    <w:rsid w:val="00975A34"/>
    <w:rsid w:val="009A1851"/>
    <w:rsid w:val="009A4DD6"/>
    <w:rsid w:val="009A6EEA"/>
    <w:rsid w:val="009B347E"/>
    <w:rsid w:val="009E56A4"/>
    <w:rsid w:val="00A10E43"/>
    <w:rsid w:val="00A2024C"/>
    <w:rsid w:val="00A30FC0"/>
    <w:rsid w:val="00A332DC"/>
    <w:rsid w:val="00A70943"/>
    <w:rsid w:val="00A9009F"/>
    <w:rsid w:val="00AB5951"/>
    <w:rsid w:val="00B47644"/>
    <w:rsid w:val="00B60614"/>
    <w:rsid w:val="00B92142"/>
    <w:rsid w:val="00BA4722"/>
    <w:rsid w:val="00BB110C"/>
    <w:rsid w:val="00BE36C3"/>
    <w:rsid w:val="00C0041A"/>
    <w:rsid w:val="00C046F2"/>
    <w:rsid w:val="00C1546D"/>
    <w:rsid w:val="00C3357F"/>
    <w:rsid w:val="00C452B9"/>
    <w:rsid w:val="00C73665"/>
    <w:rsid w:val="00C76D4E"/>
    <w:rsid w:val="00CA5196"/>
    <w:rsid w:val="00CA72D4"/>
    <w:rsid w:val="00CB38D5"/>
    <w:rsid w:val="00CD11F7"/>
    <w:rsid w:val="00CD4537"/>
    <w:rsid w:val="00CF6645"/>
    <w:rsid w:val="00D035E1"/>
    <w:rsid w:val="00D165C3"/>
    <w:rsid w:val="00D17BFF"/>
    <w:rsid w:val="00D24D2E"/>
    <w:rsid w:val="00D25D4A"/>
    <w:rsid w:val="00D43FED"/>
    <w:rsid w:val="00D66F38"/>
    <w:rsid w:val="00D75C3A"/>
    <w:rsid w:val="00D83BA6"/>
    <w:rsid w:val="00D85C64"/>
    <w:rsid w:val="00DA4B67"/>
    <w:rsid w:val="00DA4DF0"/>
    <w:rsid w:val="00DB7142"/>
    <w:rsid w:val="00DB7483"/>
    <w:rsid w:val="00DC074C"/>
    <w:rsid w:val="00DC49E1"/>
    <w:rsid w:val="00DE510F"/>
    <w:rsid w:val="00DE5261"/>
    <w:rsid w:val="00E176CF"/>
    <w:rsid w:val="00E431CE"/>
    <w:rsid w:val="00E604BA"/>
    <w:rsid w:val="00E6491C"/>
    <w:rsid w:val="00E95224"/>
    <w:rsid w:val="00E955DB"/>
    <w:rsid w:val="00E97984"/>
    <w:rsid w:val="00EC348F"/>
    <w:rsid w:val="00EC6BEE"/>
    <w:rsid w:val="00F311BC"/>
    <w:rsid w:val="00F76791"/>
    <w:rsid w:val="00F903B6"/>
    <w:rsid w:val="00FA14EC"/>
    <w:rsid w:val="00FD3010"/>
    <w:rsid w:val="00FF4FDC"/>
    <w:rsid w:val="013B6C0A"/>
    <w:rsid w:val="019601E9"/>
    <w:rsid w:val="07375FFA"/>
    <w:rsid w:val="07444A9D"/>
    <w:rsid w:val="086F25F3"/>
    <w:rsid w:val="099A5C14"/>
    <w:rsid w:val="0BE72EDA"/>
    <w:rsid w:val="0ED16381"/>
    <w:rsid w:val="0F17581E"/>
    <w:rsid w:val="104E550C"/>
    <w:rsid w:val="1235739A"/>
    <w:rsid w:val="13214A06"/>
    <w:rsid w:val="14DB66E6"/>
    <w:rsid w:val="178D5376"/>
    <w:rsid w:val="1A303232"/>
    <w:rsid w:val="1AA41296"/>
    <w:rsid w:val="1CE65B08"/>
    <w:rsid w:val="1FAA11BB"/>
    <w:rsid w:val="21625AFD"/>
    <w:rsid w:val="233615B8"/>
    <w:rsid w:val="242811A3"/>
    <w:rsid w:val="26245CE1"/>
    <w:rsid w:val="269C7EDA"/>
    <w:rsid w:val="28FD795C"/>
    <w:rsid w:val="2A396040"/>
    <w:rsid w:val="2AFE098F"/>
    <w:rsid w:val="2C4602D1"/>
    <w:rsid w:val="2FD158E4"/>
    <w:rsid w:val="300B7231"/>
    <w:rsid w:val="3086323A"/>
    <w:rsid w:val="321A536B"/>
    <w:rsid w:val="32F67C86"/>
    <w:rsid w:val="33727ACB"/>
    <w:rsid w:val="33824B11"/>
    <w:rsid w:val="341367EE"/>
    <w:rsid w:val="363C1B4E"/>
    <w:rsid w:val="3733439C"/>
    <w:rsid w:val="396068E1"/>
    <w:rsid w:val="3F437CA3"/>
    <w:rsid w:val="4158584D"/>
    <w:rsid w:val="43210CF0"/>
    <w:rsid w:val="435E64B2"/>
    <w:rsid w:val="460B0295"/>
    <w:rsid w:val="46603AD2"/>
    <w:rsid w:val="48A24858"/>
    <w:rsid w:val="49C209BD"/>
    <w:rsid w:val="506322E8"/>
    <w:rsid w:val="532D37AB"/>
    <w:rsid w:val="53964186"/>
    <w:rsid w:val="56E5608B"/>
    <w:rsid w:val="57746B53"/>
    <w:rsid w:val="59FD7BA5"/>
    <w:rsid w:val="5C2A3AF8"/>
    <w:rsid w:val="5C7C1CCD"/>
    <w:rsid w:val="5CA3354E"/>
    <w:rsid w:val="5F17071C"/>
    <w:rsid w:val="60E12287"/>
    <w:rsid w:val="625E0B40"/>
    <w:rsid w:val="649F051F"/>
    <w:rsid w:val="65C3242E"/>
    <w:rsid w:val="65DA67E4"/>
    <w:rsid w:val="6672542F"/>
    <w:rsid w:val="667DA012"/>
    <w:rsid w:val="6B8442B9"/>
    <w:rsid w:val="6BA80561"/>
    <w:rsid w:val="6DE91ADD"/>
    <w:rsid w:val="72903982"/>
    <w:rsid w:val="73EB2A13"/>
    <w:rsid w:val="75B53A2D"/>
    <w:rsid w:val="75DA7EB0"/>
    <w:rsid w:val="76812FB9"/>
    <w:rsid w:val="78A53CD3"/>
    <w:rsid w:val="79015EAB"/>
    <w:rsid w:val="7E597139"/>
    <w:rsid w:val="7F0F7867"/>
    <w:rsid w:val="BFFF98F2"/>
    <w:rsid w:val="EDB66DB5"/>
    <w:rsid w:val="EF8FE1F8"/>
    <w:rsid w:val="F35B362F"/>
    <w:rsid w:val="FFB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tabs>
        <w:tab w:val="left" w:pos="180"/>
        <w:tab w:val="left" w:pos="1440"/>
      </w:tabs>
      <w:spacing w:line="500" w:lineRule="exact"/>
    </w:pPr>
    <w:rPr>
      <w:rFonts w:ascii="楷体_GB2312" w:hAnsi="Times New Roman" w:eastAsia="楷体_GB2312"/>
      <w:sz w:val="32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页眉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批注框文本 Char"/>
    <w:basedOn w:val="1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</Words>
  <Characters>1448</Characters>
  <Lines>12</Lines>
  <Paragraphs>3</Paragraphs>
  <TotalTime>0</TotalTime>
  <ScaleCrop>false</ScaleCrop>
  <LinksUpToDate>false</LinksUpToDate>
  <CharactersWithSpaces>1699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2023-08-08T04:07:00Z</dcterms:created>
  <dc:creator>77931</dc:creator>
  <cp:lastModifiedBy>lu123</cp:lastModifiedBy>
  <cp:lastPrinted>2023-07-18T00:49:00Z</cp:lastPrinted>
  <dcterms:modified xsi:type="dcterms:W3CDTF">2023-08-10T13:13:51Z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8EBAB672166843488ACEE6C5E69FF745</vt:lpwstr>
  </property>
</Properties>
</file>