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78849">
      <w:pPr>
        <w:pStyle w:val="2"/>
        <w:rPr>
          <w:rFonts w:hint="eastAsia" w:ascii="黑体" w:eastAsia="黑体" w:cs="方正黑体_GBK"/>
          <w:sz w:val="32"/>
          <w:szCs w:val="32"/>
          <w:lang w:val="en-US" w:eastAsia="zh-CN"/>
        </w:rPr>
      </w:pPr>
      <w:r>
        <w:rPr>
          <w:rFonts w:hint="eastAsia" w:ascii="黑体" w:eastAsia="黑体" w:cs="方正黑体_GBK"/>
          <w:sz w:val="32"/>
          <w:szCs w:val="32"/>
        </w:rPr>
        <w:t>附件</w:t>
      </w:r>
      <w:r>
        <w:rPr>
          <w:rFonts w:hint="eastAsia" w:ascii="黑体" w:eastAsia="黑体" w:cs="方正黑体_GBK"/>
          <w:sz w:val="32"/>
          <w:szCs w:val="32"/>
          <w:lang w:val="en-US" w:eastAsia="zh-CN"/>
        </w:rPr>
        <w:t>2</w:t>
      </w:r>
    </w:p>
    <w:p w14:paraId="4467CECF">
      <w:pPr>
        <w:pStyle w:val="2"/>
        <w:rPr>
          <w:rFonts w:hint="eastAsia" w:ascii="黑体" w:eastAsia="黑体" w:cs="方正黑体_GBK"/>
          <w:sz w:val="32"/>
          <w:szCs w:val="32"/>
          <w:lang w:val="en-US" w:eastAsia="zh-CN"/>
        </w:rPr>
      </w:pPr>
    </w:p>
    <w:p w14:paraId="329AEAF2">
      <w:pPr>
        <w:pStyle w:val="3"/>
        <w:keepNext/>
        <w:keepLines/>
        <w:pageBreakBefore w:val="0"/>
        <w:widowControl w:val="0"/>
        <w:kinsoku/>
        <w:wordWrap/>
        <w:overflowPunct/>
        <w:topLinePunct w:val="0"/>
        <w:autoSpaceDE/>
        <w:autoSpaceDN/>
        <w:bidi w:val="0"/>
        <w:adjustRightInd/>
        <w:snapToGrid/>
        <w:spacing w:before="0" w:after="0"/>
        <w:textAlignment w:val="auto"/>
        <w:rPr>
          <w:sz w:val="44"/>
          <w:szCs w:val="24"/>
        </w:rPr>
      </w:pPr>
      <w:r>
        <w:rPr>
          <w:rFonts w:hint="eastAsia"/>
          <w:sz w:val="44"/>
          <w:szCs w:val="24"/>
          <w:lang w:val="en-US" w:eastAsia="zh-CN"/>
        </w:rPr>
        <w:t>关于</w:t>
      </w:r>
      <w:r>
        <w:rPr>
          <w:rFonts w:hint="eastAsia"/>
          <w:sz w:val="44"/>
          <w:szCs w:val="24"/>
        </w:rPr>
        <w:t>《北京市自然科学基金非共识创新</w:t>
      </w:r>
      <w:r>
        <w:rPr>
          <w:rFonts w:hint="eastAsia"/>
          <w:sz w:val="44"/>
          <w:szCs w:val="24"/>
          <w:lang w:val="en-US" w:eastAsia="zh-CN"/>
        </w:rPr>
        <w:t>项目</w:t>
      </w:r>
      <w:r>
        <w:rPr>
          <w:rFonts w:hint="eastAsia"/>
          <w:sz w:val="44"/>
          <w:szCs w:val="24"/>
        </w:rPr>
        <w:t>管理暂行办法</w:t>
      </w:r>
      <w:r>
        <w:rPr>
          <w:rFonts w:hint="eastAsia"/>
          <w:sz w:val="44"/>
          <w:szCs w:val="24"/>
          <w:lang w:val="en-US" w:eastAsia="zh-CN"/>
        </w:rPr>
        <w:t>（征求意见稿）</w:t>
      </w:r>
      <w:r>
        <w:rPr>
          <w:rFonts w:hint="eastAsia"/>
          <w:sz w:val="44"/>
          <w:szCs w:val="24"/>
        </w:rPr>
        <w:t>》</w:t>
      </w:r>
      <w:r>
        <w:rPr>
          <w:rFonts w:hint="eastAsia"/>
          <w:sz w:val="44"/>
          <w:szCs w:val="24"/>
          <w:lang w:val="en-US" w:eastAsia="zh-CN"/>
        </w:rPr>
        <w:t>的起草</w:t>
      </w:r>
      <w:r>
        <w:rPr>
          <w:rFonts w:hint="eastAsia"/>
          <w:sz w:val="44"/>
          <w:szCs w:val="24"/>
        </w:rPr>
        <w:t>说明</w:t>
      </w:r>
    </w:p>
    <w:p w14:paraId="40BE3A4A">
      <w:pPr>
        <w:spacing w:line="560" w:lineRule="exact"/>
        <w:jc w:val="center"/>
        <w:rPr>
          <w:rFonts w:ascii="方正小标宋_GBK" w:hAnsi="方正小标宋_GBK" w:eastAsia="方正小标宋_GBK" w:cs="方正小标宋_GBK"/>
          <w:color w:val="auto"/>
          <w:sz w:val="32"/>
          <w:szCs w:val="40"/>
          <w:highlight w:val="none"/>
        </w:rPr>
      </w:pPr>
    </w:p>
    <w:p w14:paraId="1E9DD7B0">
      <w:pPr>
        <w:spacing w:beforeLines="0" w:afterLines="0" w:line="560" w:lineRule="exact"/>
        <w:ind w:firstLine="640" w:firstLineChars="200"/>
        <w:rPr>
          <w:rFonts w:hint="eastAsia" w:ascii="仿宋_GB2312" w:hAnsi="仿宋" w:eastAsia="仿宋_GB2312" w:cs="仿宋"/>
          <w:color w:val="auto"/>
          <w:sz w:val="32"/>
          <w:szCs w:val="32"/>
          <w:highlight w:val="none"/>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为鼓励科研人员大胆探索、挑战未知、促进原始创新和颠覆性创新，特制定《北京市自然科学基金非共识创新项目管理暂行办法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（征求意见稿）</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具体工作考虑如下</w:t>
      </w:r>
      <w:r>
        <w:rPr>
          <w:rFonts w:hint="eastAsia" w:ascii="仿宋_GB2312" w:hAnsi="仿宋" w:eastAsia="仿宋_GB2312" w:cs="仿宋"/>
          <w:color w:val="auto"/>
          <w:sz w:val="32"/>
          <w:szCs w:val="32"/>
          <w:highlight w:val="none"/>
        </w:rPr>
        <w:t>：</w:t>
      </w:r>
    </w:p>
    <w:p w14:paraId="5D41795F">
      <w:pPr>
        <w:pStyle w:val="4"/>
        <w:spacing w:beforeLines="0" w:afterLines="0" w:line="560" w:lineRule="exact"/>
        <w:ind w:firstLine="640"/>
        <w:rPr>
          <w:rFonts w:hint="default" w:eastAsia="黑体"/>
          <w:color w:val="auto"/>
          <w:highlight w:val="none"/>
          <w:lang w:val="en-US" w:eastAsia="zh-CN"/>
        </w:rPr>
      </w:pPr>
      <w:r>
        <w:rPr>
          <w:rFonts w:hint="eastAsia"/>
          <w:color w:val="auto"/>
          <w:highlight w:val="none"/>
        </w:rPr>
        <w:t>一、</w:t>
      </w:r>
      <w:r>
        <w:rPr>
          <w:rFonts w:hint="eastAsia"/>
          <w:color w:val="auto"/>
          <w:highlight w:val="none"/>
          <w:lang w:val="en-US" w:eastAsia="zh-CN"/>
        </w:rPr>
        <w:t>制定背景</w:t>
      </w:r>
    </w:p>
    <w:p w14:paraId="6F678846">
      <w:pPr>
        <w:numPr>
          <w:ilvl w:val="0"/>
          <w:numId w:val="0"/>
        </w:numPr>
        <w:spacing w:beforeLines="-2147483648" w:afterLines="-2147483648" w:line="560" w:lineRule="exact"/>
        <w:ind w:firstLine="640" w:firstLineChars="200"/>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非共识项目是指因其具有创新性、颠覆性的理念，不同于现有知识体系和共识的项目。</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习近平总书记多次对支持非共识项目作出重要部署。2021年5月，强调</w:t>
      </w:r>
      <w:r>
        <w:rPr>
          <w:rFonts w:hint="eastAsia" w:ascii="仿宋_GB2312" w:hAnsi="仿宋_GB2312" w:eastAsia="仿宋_GB2312" w:cs="仿宋_GB2312"/>
          <w:b w:val="0"/>
          <w:bCs w:val="0"/>
          <w:caps w:val="0"/>
          <w:color w:val="000000" w:themeColor="text1"/>
          <w:spacing w:val="0"/>
          <w:kern w:val="0"/>
          <w:sz w:val="32"/>
          <w:szCs w:val="32"/>
          <w:shd w:val="clear" w:fill="auto"/>
          <w:lang w:bidi="ar"/>
          <w14:textFill>
            <w14:solidFill>
              <w14:schemeClr w14:val="tx1"/>
            </w14:solidFill>
          </w14:textFill>
        </w:rPr>
        <w:t>要建立健全符合科研活动规律的评价制度，完善自由探索型和任务导向型科技项目分类评价制度，建立非共识科技项目的评价机制</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2023年2月，在二十届中央政治局第三次集体学习时</w:t>
      </w:r>
      <w:r>
        <w:rPr>
          <w:rFonts w:hint="eastAsia" w:ascii="仿宋_GB2312" w:hAnsi="仿宋_GB2312" w:eastAsia="仿宋_GB2312" w:cs="仿宋_GB2312"/>
          <w:b w:val="0"/>
          <w:bCs w:val="0"/>
          <w:color w:val="000000" w:themeColor="text1"/>
          <w:kern w:val="0"/>
          <w:sz w:val="32"/>
          <w:szCs w:val="32"/>
          <w:lang w:eastAsia="zh-CN" w:bidi="ar"/>
          <w14:textFill>
            <w14:solidFill>
              <w14:schemeClr w14:val="tx1"/>
            </w14:solidFill>
          </w14:textFill>
        </w:rPr>
        <w:t>，强调</w:t>
      </w:r>
      <w:r>
        <w:rPr>
          <w:rFonts w:hint="eastAsia" w:ascii="仿宋_GB2312" w:hAnsi="仿宋_GB2312" w:eastAsia="仿宋_GB2312" w:cs="仿宋_GB2312"/>
          <w:b w:val="0"/>
          <w:bCs w:val="0"/>
          <w:caps w:val="0"/>
          <w:color w:val="000000" w:themeColor="text1"/>
          <w:spacing w:val="0"/>
          <w:kern w:val="0"/>
          <w:sz w:val="32"/>
          <w:szCs w:val="32"/>
          <w:shd w:val="clear" w:fill="auto"/>
          <w:lang w:bidi="ar"/>
          <w14:textFill>
            <w14:solidFill>
              <w14:schemeClr w14:val="tx1"/>
            </w14:solidFill>
          </w14:textFill>
        </w:rPr>
        <w:t>鼓励自由探索式研究和非共识创新研究</w:t>
      </w:r>
      <w:r>
        <w:rPr>
          <w:rFonts w:hint="eastAsia" w:ascii="仿宋_GB2312" w:hAnsi="仿宋_GB2312" w:eastAsia="仿宋_GB2312" w:cs="仿宋_GB2312"/>
          <w:b w:val="0"/>
          <w:bCs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2024年7月，</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二十届三中全会指出，要建立专家实名推荐的非共识项目筛选机制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。因此，探索</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非共识项目的筛选机制势在必行。</w:t>
      </w:r>
    </w:p>
    <w:p w14:paraId="2D7DDEB6">
      <w:pPr>
        <w:keepNext w:val="0"/>
        <w:keepLines w:val="0"/>
        <w:widowControl/>
        <w:suppressLineNumbers w:val="0"/>
        <w:spacing w:before="0" w:beforeLines="0" w:beforeAutospacing="0" w:after="0" w:afterLines="0" w:afterAutospacing="0" w:line="560" w:lineRule="exact"/>
        <w:ind w:left="0" w:right="0" w:firstLine="640" w:firstLineChars="200"/>
        <w:jc w:val="left"/>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（一）支持非共识项目是推动国家科技领域突破性发展的必然要求</w:t>
      </w:r>
    </w:p>
    <w:p w14:paraId="5E2FB012">
      <w:pPr>
        <w:widowControl/>
        <w:numPr>
          <w:ilvl w:val="0"/>
          <w:numId w:val="0"/>
        </w:numPr>
        <w:spacing w:beforeLines="-2147483648" w:afterLines="-2147483648" w:line="560" w:lineRule="exact"/>
        <w:ind w:firstLine="640" w:firstLineChars="200"/>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建立非共识项目的筛选机制是基于科技史规律的判断，也是我国科技发展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新阶段的必然要求</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近现代科学技术中的许多重大发现、重大突破，都是发源于蕴藏着潜在机遇的非共识项目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仿宋_GB2312" w:hAnsi="Calibri" w:eastAsia="仿宋_GB2312" w:cs="仿宋_GB2312"/>
          <w:b w:val="0"/>
          <w:bCs w:val="0"/>
          <w:kern w:val="2"/>
          <w:sz w:val="32"/>
          <w:szCs w:val="32"/>
          <w:lang w:val="en-US" w:eastAsia="zh-CN" w:bidi="ar"/>
        </w:rPr>
        <w:t>随着我国科技创新能力的提升，我们将迎来更多“从0到1”的科技创新成果，原始创新在我国科技创新中的比重越来越大，这意味着会出现更多非共识创新</w:t>
      </w:r>
      <w:r>
        <w:rPr>
          <w:rFonts w:hint="eastAsia" w:ascii="仿宋_GB2312" w:eastAsia="仿宋_GB2312" w:cs="仿宋_GB2312"/>
          <w:b w:val="0"/>
          <w:bCs w:val="0"/>
          <w:kern w:val="2"/>
          <w:sz w:val="32"/>
          <w:szCs w:val="32"/>
          <w:lang w:val="en-US" w:eastAsia="zh-CN" w:bidi="ar"/>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一些创新性强、风险性高、可行性差和难度大的非共识项目，超出一般的思维方式和认知经验，难以通过专家评审程序，无法获得资助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。面对百年未有之大变局，我国科学技术发展需要从跟跑、并跑向领跑转变，从跟踪模仿向原始创新转变，支持</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非共识项目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容易催生重大科学发现，有望产生颠覆性技术，可能催生新产业和潜力巨大的市场。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因此急需</w:t>
      </w:r>
      <w:r>
        <w:rPr>
          <w:rFonts w:hint="eastAsia" w:ascii="Times New Roman" w:hAnsi="Times New Roman" w:eastAsia="仿宋_GB2312" w:cs="Times New Roman"/>
          <w:color w:val="000000" w:themeColor="text1"/>
          <w:kern w:val="0"/>
          <w:sz w:val="32"/>
          <w:szCs w:val="32"/>
          <w14:textFill>
            <w14:solidFill>
              <w14:schemeClr w14:val="tx1"/>
            </w14:solidFill>
          </w14:textFill>
        </w:rPr>
        <w:t>建立</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有利于</w:t>
      </w:r>
      <w:r>
        <w:rPr>
          <w:rFonts w:hint="eastAsia" w:ascii="Times New Roman" w:hAnsi="Times New Roman" w:eastAsia="仿宋_GB2312" w:cs="Times New Roman"/>
          <w:color w:val="000000" w:themeColor="text1"/>
          <w:kern w:val="0"/>
          <w:sz w:val="32"/>
          <w:szCs w:val="32"/>
          <w14:textFill>
            <w14:solidFill>
              <w14:schemeClr w14:val="tx1"/>
            </w14:solidFill>
          </w14:textFill>
        </w:rPr>
        <w:t>非共识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项目</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脱颖而出</w:t>
      </w:r>
      <w:r>
        <w:rPr>
          <w:rFonts w:hint="eastAsia" w:ascii="Times New Roman" w:hAnsi="Times New Roman" w:eastAsia="仿宋_GB2312" w:cs="Times New Roman"/>
          <w:color w:val="000000" w:themeColor="text1"/>
          <w:kern w:val="0"/>
          <w:sz w:val="32"/>
          <w:szCs w:val="32"/>
          <w14:textFill>
            <w14:solidFill>
              <w14:schemeClr w14:val="tx1"/>
            </w14:solidFill>
          </w14:textFill>
        </w:rPr>
        <w:t>的筛选机</w:t>
      </w:r>
      <w:r>
        <w:rPr>
          <w:rFonts w:hint="eastAsia" w:ascii="Times New Roman" w:hAnsi="Times New Roman" w:eastAsia="仿宋_GB2312" w:cs="Times New Roman"/>
          <w:color w:val="000000" w:themeColor="text1"/>
          <w:kern w:val="0"/>
          <w:sz w:val="32"/>
          <w:szCs w:val="32"/>
          <w14:textFill>
            <w14:solidFill>
              <w14:schemeClr w14:val="tx1"/>
            </w14:solidFill>
          </w14:textFill>
        </w:rPr>
        <w:t>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推动</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国家科技领域突破性发展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bookmarkStart w:id="0" w:name="_GoBack"/>
      <w:bookmarkEnd w:id="0"/>
    </w:p>
    <w:p w14:paraId="59D82D15">
      <w:pPr>
        <w:keepLines w:val="0"/>
        <w:widowControl/>
        <w:spacing w:beforeLines="0" w:afterLines="0" w:line="560" w:lineRule="exact"/>
        <w:ind w:firstLine="640" w:firstLineChars="200"/>
        <w:jc w:val="left"/>
        <w:rPr>
          <w:rFonts w:hint="eastAsia" w:ascii="楷体_GB2312" w:hAnsi="楷体_GB2312" w:eastAsia="楷体_GB2312" w:cs="楷体_GB2312"/>
          <w:b w:val="0"/>
          <w:bCs w:val="0"/>
          <w:color w:val="000000" w:themeColor="text1"/>
          <w:kern w:val="0"/>
          <w:sz w:val="32"/>
          <w:szCs w:val="32"/>
          <w:lang w:val="en-US"/>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（二）支持非共识项目是</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探索项目分类评价创新机制</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的迫切需要</w:t>
      </w:r>
    </w:p>
    <w:p w14:paraId="13BDF709">
      <w:pPr>
        <w:keepLines w:val="0"/>
        <w:spacing w:beforeLines="0" w:afterLines="0" w:line="560" w:lineRule="exact"/>
        <w:ind w:firstLine="640" w:firstLineChars="200"/>
        <w:jc w:val="both"/>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在当下</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kern w:val="0"/>
          <w:sz w:val="32"/>
          <w:szCs w:val="32"/>
          <w14:textFill>
            <w14:solidFill>
              <w14:schemeClr w14:val="tx1"/>
            </w14:solidFill>
          </w14:textFill>
        </w:rPr>
        <w:t>科研项目评价</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体系中</w:t>
      </w:r>
      <w:r>
        <w:rPr>
          <w:rFonts w:hint="eastAsia" w:ascii="Times New Roman" w:hAnsi="Times New Roman" w:eastAsia="仿宋_GB2312" w:cs="Times New Roman"/>
          <w:color w:val="000000" w:themeColor="text1"/>
          <w:kern w:val="0"/>
          <w:sz w:val="32"/>
          <w:szCs w:val="32"/>
          <w14:textFill>
            <w14:solidFill>
              <w14:schemeClr w14:val="tx1"/>
            </w14:solidFill>
          </w14:textFill>
        </w:rPr>
        <w:t>，非共识项目难以通过</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常规</w:t>
      </w:r>
      <w:r>
        <w:rPr>
          <w:rFonts w:hint="eastAsia" w:ascii="Times New Roman" w:hAnsi="Times New Roman" w:eastAsia="仿宋_GB2312" w:cs="Times New Roman"/>
          <w:color w:val="000000" w:themeColor="text1"/>
          <w:kern w:val="0"/>
          <w:sz w:val="32"/>
          <w:szCs w:val="32"/>
          <w14:textFill>
            <w14:solidFill>
              <w14:schemeClr w14:val="tx1"/>
            </w14:solidFill>
          </w14:textFill>
        </w:rPr>
        <w:t>程序获得资助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近年来</w:t>
      </w: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国家自然科学基金</w:t>
      </w: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及各</w:t>
      </w: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主要省市在</w:t>
      </w:r>
      <w:r>
        <w:rPr>
          <w:rFonts w:hint="eastAsia" w:ascii="仿宋_GB2312" w:hAnsi="Calibri" w:eastAsia="仿宋_GB2312" w:cs="Times New Roman"/>
          <w:kern w:val="2"/>
          <w:sz w:val="32"/>
          <w:szCs w:val="21"/>
          <w:lang w:val="en-US" w:eastAsia="zh-CN" w:bidi="ar-SA"/>
        </w:rPr>
        <w:t>非常规评审机制</w:t>
      </w:r>
      <w:r>
        <w:rPr>
          <w:rFonts w:hint="eastAsia" w:ascii="Times New Roman" w:hAnsi="Times New Roman" w:eastAsia="仿宋_GB2312" w:cs="Times New Roman"/>
          <w:b w:val="0"/>
          <w:bCs w:val="0"/>
          <w:caps w:val="0"/>
          <w:color w:val="000000" w:themeColor="text1"/>
          <w:spacing w:val="0"/>
          <w:kern w:val="0"/>
          <w:sz w:val="32"/>
          <w:szCs w:val="32"/>
          <w:shd w:val="clear"/>
          <w:lang w:val="en-US" w:eastAsia="zh-CN" w:bidi="ar"/>
          <w14:textFill>
            <w14:solidFill>
              <w14:schemeClr w14:val="tx1"/>
            </w14:solidFill>
          </w14:textFill>
        </w:rPr>
        <w:t>方面</w:t>
      </w: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开展</w:t>
      </w: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了</w:t>
      </w: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一系列新探索</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国家自然科学基金设置原创探索类项目，</w:t>
      </w:r>
      <w:r>
        <w:rPr>
          <w:rFonts w:hint="eastAsia" w:ascii="仿宋_GB2312" w:hAnsi="Calibri" w:eastAsia="仿宋_GB2312" w:cs="Times New Roman"/>
          <w:kern w:val="2"/>
          <w:sz w:val="32"/>
          <w:szCs w:val="21"/>
          <w:lang w:val="en-US" w:eastAsia="zh-CN" w:bidi="ar-SA"/>
        </w:rPr>
        <w:t>引入专家推荐、预申请等与现有机制不同的申请与评审方式</w:t>
      </w:r>
      <w:r>
        <w:rPr>
          <w:rFonts w:hint="eastAsia" w:ascii="仿宋_GB2312" w:eastAsia="仿宋_GB2312" w:cs="Times New Roman"/>
          <w:kern w:val="2"/>
          <w:sz w:val="32"/>
          <w:szCs w:val="21"/>
          <w:lang w:val="en-US" w:eastAsia="zh-CN" w:bidi="ar-SA"/>
        </w:rPr>
        <w:t>；</w:t>
      </w:r>
      <w:r>
        <w:rPr>
          <w:rFonts w:hint="eastAsia" w:ascii="仿宋_GB2312" w:hAnsi="Calibri" w:eastAsia="仿宋_GB2312" w:cs="Times New Roman"/>
          <w:kern w:val="2"/>
          <w:sz w:val="32"/>
          <w:szCs w:val="21"/>
          <w:lang w:val="en-US" w:eastAsia="zh-CN" w:bidi="ar-SA"/>
        </w:rPr>
        <w:t>给予申请人与评审专家充分辩论或讨论的机会，</w:t>
      </w:r>
      <w:r>
        <w:rPr>
          <w:rFonts w:hint="eastAsia" w:ascii="仿宋_GB2312" w:eastAsia="仿宋_GB2312" w:cs="Times New Roman"/>
          <w:kern w:val="2"/>
          <w:sz w:val="32"/>
          <w:szCs w:val="21"/>
          <w:lang w:val="en-US" w:eastAsia="zh-CN" w:bidi="ar-SA"/>
        </w:rPr>
        <w:t>营造</w:t>
      </w:r>
      <w:r>
        <w:rPr>
          <w:rFonts w:hint="eastAsia" w:ascii="仿宋_GB2312" w:hAnsi="Calibri" w:eastAsia="仿宋_GB2312" w:cs="Times New Roman"/>
          <w:kern w:val="2"/>
          <w:sz w:val="32"/>
          <w:szCs w:val="21"/>
          <w:lang w:val="en-US" w:eastAsia="zh-CN" w:bidi="ar-SA"/>
        </w:rPr>
        <w:t>自由、宽松的学术氛围。</w:t>
      </w:r>
      <w:r>
        <w:rPr>
          <w:rFonts w:hint="eastAsia" w:ascii="仿宋_GB2312" w:hAnsi="仿宋_GB2312" w:eastAsia="仿宋_GB2312" w:cs="仿宋_GB2312"/>
          <w:color w:val="000000" w:themeColor="text1"/>
          <w:kern w:val="0"/>
          <w:sz w:val="32"/>
          <w:szCs w:val="32"/>
          <w14:textFill>
            <w14:solidFill>
              <w14:schemeClr w14:val="tx1"/>
            </w14:solidFill>
          </w14:textFill>
        </w:rPr>
        <w:t>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顺应</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国内外</w:t>
      </w:r>
      <w:r>
        <w:rPr>
          <w:rFonts w:hint="eastAsia" w:ascii="仿宋_GB2312" w:hAnsi="仿宋_GB2312" w:eastAsia="仿宋_GB2312" w:cs="仿宋_GB2312"/>
          <w:color w:val="000000" w:themeColor="text1"/>
          <w:kern w:val="0"/>
          <w:sz w:val="32"/>
          <w:szCs w:val="32"/>
          <w14:textFill>
            <w14:solidFill>
              <w14:schemeClr w14:val="tx1"/>
            </w14:solidFill>
          </w14:textFill>
        </w:rPr>
        <w:t>新形势、新挑战，</w:t>
      </w:r>
      <w:r>
        <w:rPr>
          <w:rFonts w:hint="eastAsia" w:ascii="仿宋_GB2312" w:hAnsi="仿宋_GB2312" w:eastAsia="仿宋_GB2312" w:cs="仿宋_GB2312"/>
          <w:b w:val="0"/>
          <w:bCs w:val="0"/>
          <w:sz w:val="32"/>
          <w:szCs w:val="32"/>
          <w:lang w:val="en-US" w:eastAsia="zh-CN"/>
        </w:rPr>
        <w:t>抢占国际科技竞争的制高点，应鼓励和提倡具有颠覆性作用的重大原创性研究，打破</w:t>
      </w:r>
      <w:r>
        <w:rPr>
          <w:rFonts w:hint="eastAsia" w:ascii="仿宋_GB2312" w:hAnsi="仿宋_GB2312" w:eastAsia="仿宋_GB2312" w:cs="仿宋_GB2312"/>
          <w:sz w:val="32"/>
          <w:szCs w:val="32"/>
        </w:rPr>
        <w:t>跟踪式研究</w:t>
      </w:r>
      <w:r>
        <w:rPr>
          <w:rFonts w:hint="eastAsia" w:ascii="仿宋_GB2312" w:hAnsi="仿宋_GB2312" w:eastAsia="仿宋_GB2312" w:cs="仿宋_GB2312"/>
          <w:sz w:val="32"/>
          <w:szCs w:val="32"/>
          <w:lang w:eastAsia="zh-CN"/>
        </w:rPr>
        <w:t>，这些都</w:t>
      </w:r>
      <w:r>
        <w:rPr>
          <w:rFonts w:hint="eastAsia" w:ascii="仿宋_GB2312" w:hAnsi="仿宋_GB2312" w:eastAsia="仿宋_GB2312" w:cs="仿宋_GB2312"/>
          <w:color w:val="000000" w:themeColor="text1"/>
          <w:kern w:val="0"/>
          <w:sz w:val="32"/>
          <w:szCs w:val="32"/>
          <w14:textFill>
            <w14:solidFill>
              <w14:schemeClr w14:val="tx1"/>
            </w14:solidFill>
          </w14:textFill>
        </w:rPr>
        <w:t>迫切需要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进一步探索和完善</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非共识项目的筛选及评价机制，</w:t>
      </w:r>
      <w:r>
        <w:rPr>
          <w:rFonts w:hint="eastAsia" w:ascii="仿宋_GB2312" w:hAnsi="仿宋_GB2312" w:eastAsia="仿宋_GB2312" w:cs="仿宋_GB2312"/>
          <w:color w:val="000000" w:themeColor="text1"/>
          <w:kern w:val="0"/>
          <w:sz w:val="32"/>
          <w:szCs w:val="32"/>
          <w14:textFill>
            <w14:solidFill>
              <w14:schemeClr w14:val="tx1"/>
            </w14:solidFill>
          </w14:textFill>
        </w:rPr>
        <w:t>构建符合基础研究规律和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非共识创新</w:t>
      </w:r>
      <w:r>
        <w:rPr>
          <w:rFonts w:hint="eastAsia" w:ascii="仿宋_GB2312" w:hAnsi="仿宋_GB2312" w:eastAsia="仿宋_GB2312" w:cs="仿宋_GB2312"/>
          <w:color w:val="000000" w:themeColor="text1"/>
          <w:kern w:val="0"/>
          <w:sz w:val="32"/>
          <w:szCs w:val="32"/>
          <w14:textFill>
            <w14:solidFill>
              <w14:schemeClr w14:val="tx1"/>
            </w14:solidFill>
          </w14:textFill>
        </w:rPr>
        <w:t>规律的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分类</w:t>
      </w:r>
      <w:r>
        <w:rPr>
          <w:rFonts w:hint="eastAsia" w:ascii="仿宋_GB2312" w:hAnsi="仿宋_GB2312" w:eastAsia="仿宋_GB2312" w:cs="仿宋_GB2312"/>
          <w:color w:val="000000" w:themeColor="text1"/>
          <w:kern w:val="0"/>
          <w:sz w:val="32"/>
          <w:szCs w:val="32"/>
          <w14:textFill>
            <w14:solidFill>
              <w14:schemeClr w14:val="tx1"/>
            </w14:solidFill>
          </w14:textFill>
        </w:rPr>
        <w:t>评价体系</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p>
    <w:p w14:paraId="59310D7B">
      <w:pPr>
        <w:keepLines w:val="0"/>
        <w:widowControl/>
        <w:spacing w:beforeLines="0" w:afterLines="0" w:line="560" w:lineRule="exact"/>
        <w:ind w:firstLine="640" w:firstLineChars="200"/>
        <w:jc w:val="left"/>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（三）支持非共识项目是加快建成国际科技创新中心的重要保障</w:t>
      </w:r>
    </w:p>
    <w:p w14:paraId="36C2E491">
      <w:pPr>
        <w:keepLines w:val="0"/>
        <w:spacing w:beforeLines="0" w:afterLines="0" w:line="560" w:lineRule="exact"/>
        <w:ind w:firstLine="640" w:firstLineChars="200"/>
        <w:jc w:val="both"/>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北京科技资源丰富，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kern w:val="0"/>
          <w:sz w:val="32"/>
          <w:szCs w:val="32"/>
          <w14:textFill>
            <w14:solidFill>
              <w14:schemeClr w14:val="tx1"/>
            </w14:solidFill>
          </w14:textFill>
        </w:rPr>
        <w:t>教育、科技、人才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方面有充分</w:t>
      </w:r>
      <w:r>
        <w:rPr>
          <w:rFonts w:hint="eastAsia" w:ascii="仿宋_GB2312" w:hAnsi="仿宋_GB2312" w:eastAsia="仿宋_GB2312" w:cs="仿宋_GB2312"/>
          <w:color w:val="000000" w:themeColor="text1"/>
          <w:kern w:val="0"/>
          <w:sz w:val="32"/>
          <w:szCs w:val="32"/>
          <w14:textFill>
            <w14:solidFill>
              <w14:schemeClr w14:val="tx1"/>
            </w14:solidFill>
          </w14:textFill>
        </w:rPr>
        <w:t>优势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2023年起实施基础研究领先行动，持续破除束缚原始创新的思想观念和评价机制障碍，具备发展非共识项目的基础和条件。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为加快落实</w:t>
      </w:r>
      <w:r>
        <w:rPr>
          <w:rFonts w:hint="eastAsia" w:ascii="仿宋_GB2312" w:hAnsi="仿宋_GB2312" w:eastAsia="仿宋_GB2312" w:cs="仿宋_GB2312"/>
          <w:color w:val="000000" w:themeColor="text1"/>
          <w:kern w:val="0"/>
          <w:sz w:val="32"/>
          <w:szCs w:val="32"/>
          <w14:textFill>
            <w14:solidFill>
              <w14:schemeClr w14:val="tx1"/>
            </w14:solidFill>
          </w14:textFill>
        </w:rPr>
        <w:t>《北京国际科技创新中心建设条例》中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探索专家推荐制等项目遴选方式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”的部署，亟需</w:t>
      </w:r>
      <w:r>
        <w:rPr>
          <w:rFonts w:hint="eastAsia" w:ascii="仿宋_GB2312" w:hAnsi="仿宋_GB2312" w:eastAsia="仿宋_GB2312" w:cs="仿宋_GB2312"/>
          <w:color w:val="000000" w:themeColor="text1"/>
          <w:kern w:val="0"/>
          <w:sz w:val="32"/>
          <w:szCs w:val="32"/>
          <w14:textFill>
            <w14:solidFill>
              <w14:schemeClr w14:val="tx1"/>
            </w14:solidFill>
          </w14:textFill>
        </w:rPr>
        <w:t>建立</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专家实名推荐的非共识项目筛选机制</w:t>
      </w:r>
      <w:r>
        <w:rPr>
          <w:rFonts w:hint="eastAsia" w:ascii="仿宋_GB2312" w:hAnsi="仿宋_GB2312" w:eastAsia="仿宋_GB2312" w:cs="仿宋_GB2312"/>
          <w:b w:val="0"/>
          <w:bCs w:val="0"/>
          <w:color w:val="000000" w:themeColor="text1"/>
          <w:kern w:val="0"/>
          <w:sz w:val="32"/>
          <w:szCs w:val="32"/>
          <w:lang w:eastAsia="zh-CN" w:bidi="ar"/>
          <w14:textFill>
            <w14:solidFill>
              <w14:schemeClr w14:val="tx1"/>
            </w14:solidFill>
          </w14:textFill>
        </w:rPr>
        <w:t>。支持非共识项目</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有利于塑造鼓励</w:t>
      </w:r>
      <w:r>
        <w:rPr>
          <w:rFonts w:hint="eastAsia" w:ascii="Times New Roman" w:hAnsi="Times New Roman" w:eastAsia="仿宋_GB2312" w:cs="Times New Roman"/>
          <w:color w:val="000000" w:themeColor="text1"/>
          <w:kern w:val="0"/>
          <w:sz w:val="32"/>
          <w:szCs w:val="32"/>
          <w14:textFill>
            <w14:solidFill>
              <w14:schemeClr w14:val="tx1"/>
            </w14:solidFill>
          </w14:textFill>
        </w:rPr>
        <w:t>重大原始创新和颠覆性创新的思维观念和评价导向，引导青年人才勇闯创新无人区，敢于突破研究定论，不畏学术研究权威，加快原始创新产出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推进北京国际科技创新中心建设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打造世界知名科学中心，形成领跑世界的原始创新策源地</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2164191E">
      <w:pPr>
        <w:pStyle w:val="4"/>
        <w:rPr>
          <w:rFonts w:hint="eastAsia" w:ascii="Arial" w:hAnsi="Arial" w:eastAsia="黑体" w:cs="宋体"/>
          <w:color w:val="auto"/>
          <w:kern w:val="2"/>
          <w:sz w:val="32"/>
          <w:szCs w:val="24"/>
          <w:highlight w:val="none"/>
          <w:lang w:val="en-US" w:eastAsia="zh-CN" w:bidi="ar-SA"/>
        </w:rPr>
      </w:pPr>
      <w:r>
        <w:rPr>
          <w:rFonts w:hint="eastAsia" w:cs="宋体"/>
          <w:color w:val="auto"/>
          <w:kern w:val="2"/>
          <w:sz w:val="32"/>
          <w:szCs w:val="24"/>
          <w:highlight w:val="none"/>
          <w:lang w:val="en-US" w:eastAsia="zh-CN" w:bidi="ar-SA"/>
        </w:rPr>
        <w:t>二</w:t>
      </w:r>
      <w:r>
        <w:rPr>
          <w:rFonts w:hint="eastAsia" w:ascii="Arial" w:hAnsi="Arial" w:eastAsia="黑体" w:cs="宋体"/>
          <w:color w:val="auto"/>
          <w:kern w:val="2"/>
          <w:sz w:val="32"/>
          <w:szCs w:val="24"/>
          <w:highlight w:val="none"/>
          <w:lang w:val="en-US" w:eastAsia="zh-CN" w:bidi="ar-SA"/>
        </w:rPr>
        <w:t>、办法主要内容</w:t>
      </w:r>
    </w:p>
    <w:p w14:paraId="01E11268">
      <w:pPr>
        <w:pStyle w:val="8"/>
        <w:spacing w:beforeLines="0" w:after="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重点聚焦</w:t>
      </w:r>
      <w:r>
        <w:rPr>
          <w:rFonts w:hint="eastAsia" w:ascii="仿宋_GB2312" w:hAnsi="仿宋_GB2312" w:eastAsia="仿宋_GB2312" w:cs="仿宋_GB2312"/>
          <w:sz w:val="32"/>
          <w:szCs w:val="32"/>
          <w:lang w:val="en-US" w:eastAsia="zh-CN"/>
        </w:rPr>
        <w:t>适用于专家实名推荐的非共识项目筛选机制和管理机制</w:t>
      </w:r>
      <w:r>
        <w:rPr>
          <w:rFonts w:hint="eastAsia" w:ascii="仿宋_GB2312" w:hAnsi="仿宋_GB2312" w:eastAsia="仿宋_GB2312" w:cs="仿宋_GB2312"/>
          <w:sz w:val="32"/>
          <w:szCs w:val="32"/>
        </w:rPr>
        <w:t>。主要考虑如下：</w:t>
      </w:r>
    </w:p>
    <w:p w14:paraId="13F38995">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）突出支持原始创新的</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定位和</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目标</w:t>
      </w:r>
    </w:p>
    <w:p w14:paraId="3A132913">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仿宋_GB2312" w:hAnsi="仿宋_GB2312" w:eastAsia="仿宋_GB2312"/>
          <w:b w:val="0"/>
          <w:bCs/>
          <w:sz w:val="32"/>
          <w:lang w:val="en-US" w:eastAsia="zh-CN"/>
        </w:rPr>
        <w:t>资助因</w:t>
      </w:r>
      <w:r>
        <w:rPr>
          <w:rFonts w:hint="eastAsia" w:ascii="仿宋_GB2312" w:hAnsi="仿宋_GB2312" w:eastAsia="仿宋_GB2312"/>
          <w:b w:val="0"/>
          <w:bCs/>
          <w:sz w:val="32"/>
        </w:rPr>
        <w:t>创新性、颠覆性的理念而</w:t>
      </w:r>
      <w:r>
        <w:rPr>
          <w:rFonts w:hint="eastAsia" w:ascii="仿宋_GB2312" w:hAnsi="仿宋_GB2312" w:eastAsia="仿宋_GB2312"/>
          <w:b w:val="0"/>
          <w:bCs/>
          <w:sz w:val="32"/>
          <w:lang w:eastAsia="zh-CN"/>
        </w:rPr>
        <w:t>不同于</w:t>
      </w:r>
      <w:r>
        <w:rPr>
          <w:rFonts w:hint="eastAsia" w:ascii="仿宋_GB2312" w:hAnsi="仿宋_GB2312" w:eastAsia="仿宋_GB2312"/>
          <w:b w:val="0"/>
          <w:bCs/>
          <w:sz w:val="32"/>
        </w:rPr>
        <w:t>现有知识体系和共识</w:t>
      </w:r>
      <w:r>
        <w:rPr>
          <w:rFonts w:hint="eastAsia" w:ascii="仿宋_GB2312" w:hAnsi="仿宋_GB2312" w:eastAsia="仿宋_GB2312"/>
          <w:b w:val="0"/>
          <w:bCs/>
          <w:sz w:val="32"/>
          <w:lang w:val="en-US" w:eastAsia="zh-CN"/>
        </w:rPr>
        <w:t>的项目，</w:t>
      </w:r>
      <w:r>
        <w:rPr>
          <w:rFonts w:hint="eastAsia" w:ascii="仿宋_GB2312" w:hAnsi="Calibri" w:eastAsia="仿宋_GB2312" w:cs="仿宋_GB2312"/>
          <w:b w:val="0"/>
          <w:bCs w:val="0"/>
          <w:color w:val="000000"/>
          <w:kern w:val="0"/>
          <w:sz w:val="32"/>
          <w:szCs w:val="32"/>
          <w:lang w:val="en-US" w:eastAsia="zh-CN" w:bidi="ar"/>
        </w:rPr>
        <w:t>按照</w:t>
      </w:r>
      <w:r>
        <w:rPr>
          <w:rFonts w:hint="eastAsia" w:ascii="仿宋_GB2312" w:hAnsi="仿宋_GB2312" w:eastAsia="仿宋_GB2312" w:cs="仿宋_GB2312"/>
          <w:b w:val="0"/>
          <w:bCs w:val="0"/>
          <w:color w:val="auto"/>
          <w:kern w:val="0"/>
          <w:sz w:val="32"/>
          <w:szCs w:val="32"/>
          <w:highlight w:val="none"/>
          <w:lang w:val="en-US" w:eastAsia="zh-CN" w:bidi="ar"/>
        </w:rPr>
        <w:t>原创引领、实名推荐、宽容失败、择优滚动</w:t>
      </w:r>
      <w:r>
        <w:rPr>
          <w:rFonts w:hint="eastAsia" w:ascii="仿宋_GB2312" w:hAnsi="Calibri" w:eastAsia="仿宋_GB2312" w:cs="仿宋_GB2312"/>
          <w:b w:val="0"/>
          <w:bCs w:val="0"/>
          <w:color w:val="000000"/>
          <w:kern w:val="0"/>
          <w:sz w:val="32"/>
          <w:szCs w:val="32"/>
          <w:lang w:val="en-US" w:eastAsia="zh-CN" w:bidi="ar"/>
        </w:rPr>
        <w:t>的原则</w:t>
      </w:r>
      <w:r>
        <w:rPr>
          <w:rFonts w:hint="eastAsia" w:ascii="仿宋_GB2312" w:hAnsi="仿宋_GB2312" w:eastAsia="仿宋_GB2312"/>
          <w:bCs/>
          <w:sz w:val="32"/>
        </w:rPr>
        <w:t>，</w:t>
      </w:r>
      <w:r>
        <w:rPr>
          <w:rFonts w:hint="eastAsia" w:ascii="仿宋_GB2312" w:hAnsi="仿宋_GB2312" w:eastAsia="仿宋_GB2312" w:cs="仿宋_GB2312"/>
          <w:b w:val="0"/>
          <w:bCs w:val="0"/>
          <w:color w:val="auto"/>
          <w:kern w:val="0"/>
          <w:sz w:val="32"/>
          <w:szCs w:val="32"/>
          <w:highlight w:val="none"/>
          <w:lang w:val="en-US" w:eastAsia="zh-CN"/>
        </w:rPr>
        <w:t>充分发挥北京教育、科技、人才优势，为非共识创新提供新的支持模式和路径</w:t>
      </w:r>
      <w:r>
        <w:rPr>
          <w:rFonts w:hint="eastAsia" w:ascii="仿宋_GB2312" w:eastAsia="仿宋_GB2312" w:cs="仿宋_GB2312"/>
          <w:color w:val="000000"/>
          <w:kern w:val="0"/>
          <w:sz w:val="32"/>
          <w:szCs w:val="32"/>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rPr>
        <w:t>探索建立鼓励重大原始创新和颠覆性创新的思维观念，建立不问出处、不设门槛、不唯过往业绩等打破常规的评价导向，建立科学有效的监管、评价和全过程责任制度。引导青年科研人员</w:t>
      </w:r>
      <w:r>
        <w:rPr>
          <w:rFonts w:hint="eastAsia" w:ascii="仿宋_GB2312" w:hAnsi="仿宋_GB2312" w:eastAsia="仿宋_GB2312" w:cs="仿宋_GB2312"/>
          <w:color w:val="auto"/>
          <w:kern w:val="0"/>
          <w:sz w:val="32"/>
          <w:szCs w:val="32"/>
          <w:highlight w:val="none"/>
        </w:rPr>
        <w:t>不畏学术研究权威，敢于突破研究定论，</w:t>
      </w:r>
      <w:r>
        <w:rPr>
          <w:rFonts w:hint="eastAsia" w:ascii="仿宋_GB2312" w:hAnsi="仿宋_GB2312" w:eastAsia="仿宋_GB2312" w:cs="仿宋_GB2312"/>
          <w:color w:val="auto"/>
          <w:kern w:val="0"/>
          <w:sz w:val="32"/>
          <w:szCs w:val="32"/>
          <w:highlight w:val="none"/>
          <w:lang w:eastAsia="zh-CN"/>
        </w:rPr>
        <w:t>勇于</w:t>
      </w:r>
      <w:r>
        <w:rPr>
          <w:rFonts w:hint="eastAsia" w:ascii="仿宋_GB2312" w:hAnsi="仿宋_GB2312" w:eastAsia="仿宋_GB2312" w:cs="仿宋_GB2312"/>
          <w:b w:val="0"/>
          <w:bCs w:val="0"/>
          <w:color w:val="auto"/>
          <w:kern w:val="0"/>
          <w:sz w:val="32"/>
          <w:szCs w:val="32"/>
          <w:highlight w:val="none"/>
          <w:lang w:val="en-US" w:eastAsia="zh-CN"/>
        </w:rPr>
        <w:t>突破现有科学技术理论框架，瞄准“从0到1”，</w:t>
      </w:r>
      <w:r>
        <w:rPr>
          <w:rFonts w:hint="eastAsia" w:ascii="仿宋_GB2312" w:hAnsi="仿宋_GB2312" w:eastAsia="仿宋_GB2312" w:cs="仿宋_GB2312"/>
          <w:color w:val="auto"/>
          <w:kern w:val="0"/>
          <w:sz w:val="32"/>
          <w:szCs w:val="32"/>
          <w:highlight w:val="none"/>
        </w:rPr>
        <w:t>勇闯科学“无人区”</w:t>
      </w:r>
      <w:r>
        <w:rPr>
          <w:rFonts w:hint="eastAsia" w:ascii="仿宋_GB2312" w:hAnsi="仿宋_GB2312" w:eastAsia="仿宋_GB2312" w:cs="仿宋_GB2312"/>
          <w:color w:val="auto"/>
          <w:kern w:val="0"/>
          <w:sz w:val="32"/>
          <w:szCs w:val="32"/>
          <w:highlight w:val="none"/>
          <w:lang w:eastAsia="zh-CN"/>
        </w:rPr>
        <w:t>。有望</w:t>
      </w:r>
      <w:r>
        <w:rPr>
          <w:rFonts w:hint="eastAsia" w:ascii="仿宋_GB2312" w:hAnsi="仿宋_GB2312" w:eastAsia="仿宋_GB2312" w:cs="仿宋_GB2312"/>
          <w:color w:val="auto"/>
          <w:kern w:val="0"/>
          <w:sz w:val="32"/>
          <w:szCs w:val="32"/>
          <w:highlight w:val="none"/>
        </w:rPr>
        <w:t>加快原始创新产出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加强颠覆性技术供给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促进</w:t>
      </w:r>
      <w:r>
        <w:rPr>
          <w:rFonts w:hint="eastAsia" w:ascii="仿宋_GB2312" w:hAnsi="仿宋_GB2312" w:eastAsia="仿宋_GB2312" w:cs="仿宋_GB2312"/>
          <w:b w:val="0"/>
          <w:bCs w:val="0"/>
          <w:color w:val="auto"/>
          <w:kern w:val="0"/>
          <w:sz w:val="32"/>
          <w:szCs w:val="32"/>
          <w:highlight w:val="none"/>
          <w:lang w:val="en-US" w:eastAsia="zh-CN"/>
        </w:rPr>
        <w:t>跨学科交叉融合研究，服务国家战略和北京发展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打造世界知名科学中心，形成领跑世界的原始创新策源地</w:t>
      </w:r>
      <w:r>
        <w:rPr>
          <w:rFonts w:hint="eastAsia" w:ascii="仿宋_GB2312" w:eastAsia="仿宋_GB2312" w:cs="仿宋_GB2312"/>
          <w:color w:val="000000"/>
          <w:kern w:val="0"/>
          <w:sz w:val="32"/>
          <w:szCs w:val="32"/>
          <w:lang w:val="en-US" w:eastAsia="zh-CN" w:bidi="ar"/>
        </w:rPr>
        <w:t>。</w:t>
      </w:r>
    </w:p>
    <w:p w14:paraId="5F2B58C6">
      <w:pPr>
        <w:pStyle w:val="8"/>
        <w:spacing w:beforeLines="0" w:after="0" w:afterLines="0" w:line="560" w:lineRule="exact"/>
        <w:ind w:firstLine="640" w:firstLineChars="200"/>
        <w:rPr>
          <w:rFonts w:hint="eastAsia" w:ascii="楷体_GB2312" w:hAnsi="楷体_GB2312" w:eastAsia="楷体_GB2312" w:cs="楷体_GB2312"/>
          <w:b w:val="0"/>
          <w:bCs w:val="0"/>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明确</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组织</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管理各主体职责</w:t>
      </w:r>
    </w:p>
    <w:p w14:paraId="7CAF3971">
      <w:pPr>
        <w:pStyle w:val="8"/>
        <w:spacing w:beforeLines="0" w:after="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b w:val="0"/>
          <w:bCs/>
          <w:sz w:val="32"/>
          <w:lang w:val="en-US" w:eastAsia="zh-CN"/>
        </w:rPr>
        <w:t>明确</w:t>
      </w:r>
      <w:r>
        <w:rPr>
          <w:rFonts w:hint="eastAsia" w:ascii="仿宋_GB2312" w:hAnsi="仿宋_GB2312" w:eastAsia="仿宋_GB2312" w:cs="仿宋_GB2312"/>
          <w:sz w:val="32"/>
          <w:szCs w:val="32"/>
        </w:rPr>
        <w:t>市科委中关村管委会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基金办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项目实施单位和项目负责人的</w:t>
      </w:r>
      <w:r>
        <w:rPr>
          <w:rFonts w:hint="eastAsia" w:ascii="仿宋_GB2312" w:hAnsi="仿宋_GB2312" w:eastAsia="仿宋_GB2312" w:cs="仿宋_GB2312"/>
          <w:sz w:val="32"/>
          <w:szCs w:val="32"/>
        </w:rPr>
        <w:t>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明确市科委中关村管委会</w:t>
      </w:r>
      <w:r>
        <w:rPr>
          <w:rFonts w:hint="eastAsia" w:ascii="仿宋_GB2312" w:hAnsi="仿宋_GB2312" w:eastAsia="仿宋_GB2312" w:cs="仿宋_GB2312"/>
          <w:sz w:val="32"/>
          <w:szCs w:val="32"/>
          <w:lang w:val="en-US" w:eastAsia="zh-CN"/>
        </w:rPr>
        <w:t>是项目的主管部门，负责</w:t>
      </w:r>
      <w:r>
        <w:rPr>
          <w:rFonts w:hint="eastAsia" w:ascii="仿宋_GB2312" w:hAnsi="仿宋_GB2312" w:eastAsia="仿宋_GB2312" w:cs="仿宋_GB2312"/>
          <w:sz w:val="32"/>
          <w:szCs w:val="32"/>
        </w:rPr>
        <w:t>研究制定项目管理政策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明确基金办是项目的具体组织与实施部门，负责项目的全过程管理。明确依托单位是项目实施</w:t>
      </w:r>
      <w:r>
        <w:rPr>
          <w:rFonts w:hint="eastAsia" w:ascii="仿宋_GB2312" w:hAnsi="仿宋_GB2312" w:eastAsia="仿宋_GB2312" w:cs="仿宋_GB2312"/>
          <w:b w:val="0"/>
          <w:bCs w:val="0"/>
          <w:color w:val="auto"/>
          <w:kern w:val="0"/>
          <w:sz w:val="32"/>
          <w:szCs w:val="32"/>
          <w:highlight w:val="none"/>
          <w:lang w:eastAsia="zh-CN" w:bidi="ar"/>
        </w:rPr>
        <w:t>和资金管理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b w:val="0"/>
          <w:bCs w:val="0"/>
          <w:color w:val="auto"/>
          <w:kern w:val="0"/>
          <w:sz w:val="32"/>
          <w:szCs w:val="32"/>
          <w:highlight w:val="none"/>
          <w:lang w:eastAsia="zh-CN" w:bidi="ar"/>
        </w:rPr>
        <w:t>责任主体</w:t>
      </w:r>
      <w:r>
        <w:rPr>
          <w:rFonts w:hint="eastAsia" w:ascii="仿宋_GB2312" w:hAnsi="仿宋_GB2312" w:eastAsia="仿宋_GB2312" w:cs="仿宋_GB2312"/>
          <w:sz w:val="32"/>
          <w:szCs w:val="32"/>
          <w:lang w:val="en-US" w:eastAsia="zh-CN"/>
        </w:rPr>
        <w:t>，负责保障项目正常推进。明确项目负责人是项目实施的直接责任人，对项目材料以及项目的立项、实施和结题等全面负责。</w:t>
      </w:r>
    </w:p>
    <w:p w14:paraId="178064B0">
      <w:pPr>
        <w:pStyle w:val="8"/>
        <w:spacing w:beforeLines="0" w:after="0" w:afterLines="0" w:line="560" w:lineRule="exact"/>
        <w:ind w:firstLine="640" w:firstLineChars="200"/>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探索专家实名推荐组织方式</w:t>
      </w:r>
    </w:p>
    <w:p w14:paraId="7998E3DB">
      <w:pPr>
        <w:pStyle w:val="8"/>
        <w:spacing w:beforeLines="0" w:after="0" w:afterLines="0"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val="0"/>
          <w:sz w:val="32"/>
          <w:szCs w:val="32"/>
          <w:lang w:eastAsia="zh-CN"/>
        </w:rPr>
        <w:t>推荐的</w:t>
      </w:r>
      <w:r>
        <w:rPr>
          <w:rFonts w:hint="eastAsia" w:ascii="仿宋_GB2312" w:hAnsi="仿宋_GB2312" w:eastAsia="仿宋_GB2312" w:cs="仿宋_GB2312"/>
          <w:sz w:val="32"/>
          <w:szCs w:val="32"/>
        </w:rPr>
        <w:t>非共识项目</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聚焦北京市</w:t>
      </w:r>
      <w:r>
        <w:rPr>
          <w:rFonts w:hint="eastAsia" w:ascii="仿宋_GB2312" w:hAnsi="仿宋_GB2312" w:eastAsia="仿宋_GB2312" w:cs="仿宋_GB2312"/>
          <w:sz w:val="32"/>
          <w:szCs w:val="32"/>
          <w:lang w:eastAsia="zh-CN"/>
        </w:rPr>
        <w:t>布局的</w:t>
      </w:r>
      <w:r>
        <w:rPr>
          <w:rFonts w:hint="eastAsia" w:ascii="仿宋_GB2312" w:hAnsi="仿宋_GB2312" w:eastAsia="仿宋_GB2312" w:cs="仿宋_GB2312"/>
          <w:sz w:val="32"/>
          <w:szCs w:val="32"/>
        </w:rPr>
        <w:t>基础研究重点领域</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青年科研人员提出具有非共识性、原创性、颠覆性等特征的创新学术思想，开展探索性与风险性强的原创性、突破性基础研究工作。依托具有国际影响力和</w:t>
      </w:r>
      <w:r>
        <w:rPr>
          <w:rFonts w:hint="eastAsia" w:ascii="仿宋_GB2312" w:hAnsi="仿宋_GB2312" w:eastAsia="仿宋_GB2312" w:cs="仿宋_GB2312"/>
          <w:sz w:val="32"/>
          <w:szCs w:val="32"/>
          <w:lang w:eastAsia="zh-CN"/>
        </w:rPr>
        <w:t>前瞻性</w:t>
      </w:r>
      <w:r>
        <w:rPr>
          <w:rFonts w:hint="eastAsia" w:ascii="仿宋_GB2312" w:hAnsi="仿宋_GB2312" w:eastAsia="仿宋_GB2312" w:cs="仿宋_GB2312"/>
          <w:sz w:val="32"/>
          <w:szCs w:val="32"/>
        </w:rPr>
        <w:t>眼光的领域高水平专家</w:t>
      </w:r>
      <w:r>
        <w:rPr>
          <w:rFonts w:hint="eastAsia" w:ascii="仿宋_GB2312" w:hAnsi="仿宋_GB2312" w:eastAsia="仿宋_GB2312" w:cs="仿宋_GB2312"/>
          <w:sz w:val="32"/>
          <w:szCs w:val="32"/>
          <w:lang w:eastAsia="zh-CN"/>
        </w:rPr>
        <w:t>发挥个人影响力，负责任地</w:t>
      </w:r>
      <w:r>
        <w:rPr>
          <w:rFonts w:hint="eastAsia" w:ascii="仿宋_GB2312" w:hAnsi="仿宋_GB2312" w:eastAsia="仿宋_GB2312" w:cs="仿宋_GB2312"/>
          <w:sz w:val="32"/>
          <w:szCs w:val="32"/>
        </w:rPr>
        <w:t>实名推荐项目。建立</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推荐激励机制，</w:t>
      </w:r>
      <w:r>
        <w:rPr>
          <w:rFonts w:hint="eastAsia" w:ascii="仿宋_GB2312" w:hAnsi="仿宋_GB2312" w:eastAsia="仿宋_GB2312" w:cs="仿宋_GB2312"/>
          <w:sz w:val="32"/>
          <w:szCs w:val="32"/>
          <w:lang w:eastAsia="zh-CN"/>
        </w:rPr>
        <w:t>推荐的项目获得滚动支持后，</w:t>
      </w:r>
      <w:r>
        <w:rPr>
          <w:rFonts w:hint="eastAsia" w:ascii="仿宋_GB2312" w:hAnsi="仿宋_GB2312" w:eastAsia="仿宋_GB2312" w:cs="仿宋_GB2312"/>
          <w:sz w:val="32"/>
          <w:szCs w:val="32"/>
        </w:rPr>
        <w:t>推荐专家次年可增加推荐名额。</w:t>
      </w:r>
    </w:p>
    <w:p w14:paraId="46EA2DCF">
      <w:pPr>
        <w:pStyle w:val="8"/>
        <w:spacing w:beforeLines="0" w:after="0" w:afterLines="0" w:line="560" w:lineRule="exact"/>
        <w:ind w:firstLine="640" w:firstLineChars="200"/>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建立非共识项目筛选机制</w:t>
      </w:r>
    </w:p>
    <w:p w14:paraId="49FFEF4F">
      <w:pPr>
        <w:spacing w:beforeLines="0" w:after="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b w:val="0"/>
          <w:bCs/>
          <w:sz w:val="32"/>
          <w:lang w:val="en-US" w:eastAsia="zh-CN"/>
        </w:rPr>
        <w:t>一是设置充分讨论环节，</w:t>
      </w:r>
      <w:r>
        <w:rPr>
          <w:rFonts w:hint="eastAsia" w:ascii="仿宋_GB2312" w:hAnsi="仿宋_GB2312" w:eastAsia="仿宋_GB2312"/>
          <w:bCs/>
          <w:sz w:val="32"/>
          <w:lang w:eastAsia="zh-CN"/>
        </w:rPr>
        <w:t>将有效</w:t>
      </w:r>
      <w:r>
        <w:rPr>
          <w:rFonts w:hint="eastAsia" w:ascii="仿宋_GB2312" w:hAnsi="仿宋_GB2312" w:eastAsia="仿宋_GB2312"/>
          <w:bCs/>
          <w:sz w:val="32"/>
        </w:rPr>
        <w:t>降低原创性基础研究</w:t>
      </w:r>
      <w:r>
        <w:rPr>
          <w:rFonts w:hint="eastAsia" w:ascii="仿宋_GB2312" w:hAnsi="仿宋_GB2312" w:eastAsia="仿宋_GB2312"/>
          <w:bCs/>
          <w:sz w:val="32"/>
          <w:lang w:eastAsia="zh-CN"/>
        </w:rPr>
        <w:t>专家</w:t>
      </w:r>
      <w:r>
        <w:rPr>
          <w:rFonts w:hint="eastAsia" w:ascii="仿宋_GB2312" w:hAnsi="仿宋_GB2312" w:eastAsia="仿宋_GB2312"/>
          <w:bCs/>
          <w:sz w:val="32"/>
        </w:rPr>
        <w:t>评议</w:t>
      </w:r>
      <w:r>
        <w:rPr>
          <w:rFonts w:hint="eastAsia" w:ascii="仿宋_GB2312" w:hAnsi="仿宋_GB2312" w:eastAsia="仿宋_GB2312"/>
          <w:bCs/>
          <w:sz w:val="32"/>
          <w:lang w:eastAsia="zh-CN"/>
        </w:rPr>
        <w:t>的</w:t>
      </w:r>
      <w:r>
        <w:rPr>
          <w:rFonts w:hint="eastAsia" w:ascii="仿宋_GB2312" w:hAnsi="仿宋_GB2312" w:eastAsia="仿宋_GB2312"/>
          <w:bCs/>
          <w:sz w:val="32"/>
        </w:rPr>
        <w:t>非共识风险</w:t>
      </w:r>
      <w:r>
        <w:rPr>
          <w:rFonts w:hint="eastAsia" w:ascii="仿宋_GB2312" w:hAnsi="仿宋_GB2312" w:eastAsia="仿宋_GB2312"/>
          <w:bCs/>
          <w:sz w:val="32"/>
          <w:lang w:eastAsia="zh-CN"/>
        </w:rPr>
        <w:t>，成为</w:t>
      </w:r>
      <w:r>
        <w:rPr>
          <w:rFonts w:hint="eastAsia" w:ascii="仿宋_GB2312" w:hAnsi="仿宋_GB2312" w:eastAsia="仿宋_GB2312"/>
          <w:bCs/>
          <w:sz w:val="32"/>
        </w:rPr>
        <w:t>有利于</w:t>
      </w:r>
      <w:r>
        <w:rPr>
          <w:rFonts w:hint="eastAsia" w:ascii="仿宋_GB2312" w:hAnsi="仿宋_GB2312" w:eastAsia="仿宋_GB2312"/>
          <w:bCs/>
          <w:sz w:val="32"/>
          <w:lang w:eastAsia="zh-CN"/>
        </w:rPr>
        <w:t>非共识</w:t>
      </w:r>
      <w:r>
        <w:rPr>
          <w:rFonts w:hint="eastAsia" w:ascii="仿宋_GB2312" w:hAnsi="仿宋_GB2312" w:eastAsia="仿宋_GB2312"/>
          <w:bCs/>
          <w:sz w:val="32"/>
        </w:rPr>
        <w:t>创新脱颖而出的针对性</w:t>
      </w:r>
      <w:r>
        <w:rPr>
          <w:rFonts w:hint="eastAsia" w:ascii="仿宋_GB2312" w:hAnsi="仿宋_GB2312" w:eastAsia="仿宋_GB2312"/>
          <w:bCs/>
          <w:sz w:val="32"/>
          <w:lang w:val="en-US" w:eastAsia="zh-CN"/>
        </w:rPr>
        <w:t>筛选</w:t>
      </w:r>
      <w:r>
        <w:rPr>
          <w:rFonts w:hint="eastAsia" w:ascii="仿宋_GB2312" w:hAnsi="仿宋_GB2312" w:eastAsia="仿宋_GB2312"/>
          <w:bCs/>
          <w:sz w:val="32"/>
        </w:rPr>
        <w:t>机制</w:t>
      </w:r>
      <w:r>
        <w:rPr>
          <w:rFonts w:hint="eastAsia" w:ascii="仿宋_GB2312" w:hAnsi="仿宋_GB2312" w:eastAsia="仿宋_GB2312"/>
          <w:b w:val="0"/>
          <w:bCs/>
          <w:sz w:val="32"/>
          <w:lang w:val="en-US" w:eastAsia="zh-CN"/>
        </w:rPr>
        <w:t>。二是</w:t>
      </w:r>
      <w:r>
        <w:rPr>
          <w:rFonts w:hint="eastAsia" w:ascii="仿宋_GB2312" w:hAnsi="仿宋_GB2312" w:eastAsia="仿宋_GB2312" w:cs="仿宋_GB2312"/>
          <w:sz w:val="32"/>
          <w:szCs w:val="32"/>
        </w:rPr>
        <w:t>建立与资助导向相适应的</w:t>
      </w:r>
      <w:r>
        <w:rPr>
          <w:rFonts w:hint="eastAsia" w:ascii="仿宋_GB2312" w:hAnsi="仿宋_GB2312" w:eastAsia="仿宋_GB2312" w:cs="仿宋_GB2312"/>
          <w:sz w:val="32"/>
          <w:szCs w:val="32"/>
          <w:lang w:val="en-US" w:eastAsia="zh-CN"/>
        </w:rPr>
        <w:t>非共识创新筛选</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val="en-US" w:eastAsia="zh-CN"/>
        </w:rPr>
        <w:t>，对符合非共识创新标准并获得一位专家实名推荐的项目也可给予</w:t>
      </w:r>
      <w:r>
        <w:rPr>
          <w:rFonts w:hint="eastAsia" w:ascii="仿宋_GB2312" w:hAnsi="宋体" w:eastAsia="仿宋_GB2312" w:cs="仿宋_GB2312"/>
          <w:kern w:val="0"/>
          <w:sz w:val="32"/>
          <w:szCs w:val="32"/>
          <w:lang w:val="en-US" w:eastAsia="zh-CN" w:bidi="ar"/>
        </w:rPr>
        <w:t>“培育项目”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激励</w:t>
      </w:r>
      <w:r>
        <w:rPr>
          <w:rFonts w:hint="eastAsia" w:ascii="仿宋_GB2312" w:hAnsi="仿宋_GB2312" w:eastAsia="仿宋_GB2312" w:cs="仿宋_GB2312"/>
          <w:sz w:val="32"/>
          <w:szCs w:val="32"/>
          <w:lang w:val="en-US" w:eastAsia="zh-CN"/>
        </w:rPr>
        <w:t>专家发挥独到眼光，打破常规筛选</w:t>
      </w:r>
      <w:r>
        <w:rPr>
          <w:rFonts w:hint="eastAsia" w:ascii="仿宋_GB2312" w:hAnsi="仿宋_GB2312" w:eastAsia="仿宋_GB2312" w:cs="仿宋_GB2312"/>
          <w:sz w:val="32"/>
          <w:szCs w:val="32"/>
        </w:rPr>
        <w:t>创新性强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风险性高的前期研究，有望产出更多非共识创新。</w:t>
      </w:r>
    </w:p>
    <w:p w14:paraId="25AE2299">
      <w:pPr>
        <w:pStyle w:val="8"/>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（五）试点双负责人制</w:t>
      </w:r>
    </w:p>
    <w:p w14:paraId="501C8A22">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仿宋_GB2312" w:hAnsi="仿宋_GB2312" w:eastAsia="仿宋_GB2312" w:cs="仿宋_GB2312"/>
          <w:b w:val="0"/>
          <w:bCs w:val="0"/>
          <w:sz w:val="32"/>
          <w:szCs w:val="32"/>
          <w:highlight w:val="none"/>
          <w:lang w:val="en-US" w:eastAsia="zh-CN"/>
        </w:rPr>
        <w:t>面向临床医生设置临床及基础交叉融合非共识项目，实行双负责人制，</w:t>
      </w:r>
      <w:r>
        <w:rPr>
          <w:rFonts w:hint="eastAsia" w:ascii="仿宋_GB2312" w:hAnsi="Calibri" w:eastAsia="仿宋_GB2312" w:cs="仿宋_GB2312"/>
          <w:kern w:val="2"/>
          <w:sz w:val="32"/>
          <w:szCs w:val="32"/>
          <w:lang w:val="en-US" w:eastAsia="zh-CN" w:bidi="ar"/>
        </w:rPr>
        <w:t>引导</w:t>
      </w:r>
      <w:r>
        <w:rPr>
          <w:rFonts w:hint="eastAsia" w:ascii="仿宋_GB2312" w:hAnsi="Calibri" w:eastAsia="仿宋_GB2312" w:cs="仿宋_GB2312"/>
          <w:color w:val="222222"/>
          <w:kern w:val="2"/>
          <w:sz w:val="32"/>
          <w:szCs w:val="32"/>
          <w:lang w:val="en-US" w:eastAsia="zh-CN" w:bidi="ar"/>
        </w:rPr>
        <w:t>临床医生和基础研究领域研究人员开展实质性优势互补合作研究，鼓励</w:t>
      </w:r>
      <w:r>
        <w:rPr>
          <w:rFonts w:hint="eastAsia" w:ascii="仿宋_GB2312" w:hAnsi="Calibri" w:eastAsia="仿宋_GB2312" w:cs="仿宋_GB2312"/>
          <w:kern w:val="2"/>
          <w:sz w:val="32"/>
          <w:szCs w:val="32"/>
          <w:lang w:val="en-US" w:eastAsia="zh-CN" w:bidi="ar"/>
        </w:rPr>
        <w:t>从临床诊疗实践凝练关键科学问题，为提升临床诊疗水平提供技术、方法或策略的科学支撑</w:t>
      </w:r>
      <w:r>
        <w:rPr>
          <w:rFonts w:hint="eastAsia" w:ascii="仿宋_GB2312" w:eastAsia="仿宋_GB2312" w:cs="仿宋_GB2312"/>
          <w:kern w:val="2"/>
          <w:sz w:val="32"/>
          <w:szCs w:val="32"/>
          <w:lang w:val="en-US" w:eastAsia="zh-CN" w:bidi="ar"/>
        </w:rPr>
        <w:t>。</w:t>
      </w:r>
    </w:p>
    <w:p w14:paraId="00D9B836">
      <w:pPr>
        <w:pStyle w:val="8"/>
        <w:spacing w:beforeLines="0" w:after="0" w:afterLines="0" w:line="560" w:lineRule="exact"/>
        <w:ind w:firstLine="640" w:firstLineChars="200"/>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（六）择优滚动支持</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持续驱动</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原始</w:t>
      </w:r>
      <w:r>
        <w:rPr>
          <w:rFonts w:hint="eastAsia" w:ascii="楷体_GB2312" w:hAnsi="楷体_GB2312" w:eastAsia="楷体_GB2312" w:cs="楷体_GB2312"/>
          <w:b w:val="0"/>
          <w:bCs w:val="0"/>
          <w:color w:val="000000" w:themeColor="text1"/>
          <w:kern w:val="0"/>
          <w:sz w:val="32"/>
          <w:szCs w:val="32"/>
          <w14:textFill>
            <w14:solidFill>
              <w14:schemeClr w14:val="tx1"/>
            </w14:solidFill>
          </w14:textFill>
        </w:rPr>
        <w:t>创新</w:t>
      </w:r>
    </w:p>
    <w:p w14:paraId="1A91998D">
      <w:pPr>
        <w:spacing w:beforeLines="0" w:after="0" w:afterLines="0"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lang w:val="en-US" w:eastAsia="zh-CN"/>
        </w:rPr>
        <w:t>对结题的“重点项目”和“培育项目”，应</w:t>
      </w:r>
      <w:r>
        <w:rPr>
          <w:rFonts w:hint="eastAsia" w:ascii="仿宋_GB2312" w:hAnsi="仿宋_GB2312" w:eastAsia="仿宋_GB2312" w:cs="仿宋_GB2312"/>
          <w:color w:val="auto"/>
          <w:sz w:val="32"/>
          <w:szCs w:val="32"/>
          <w:highlight w:val="none"/>
        </w:rPr>
        <w:t>综合评估</w:t>
      </w:r>
      <w:r>
        <w:rPr>
          <w:rFonts w:hint="eastAsia" w:ascii="仿宋_GB2312" w:hAnsi="仿宋_GB2312" w:eastAsia="仿宋_GB2312" w:cs="仿宋_GB2312"/>
          <w:color w:val="auto"/>
          <w:sz w:val="32"/>
          <w:szCs w:val="32"/>
          <w:highlight w:val="none"/>
          <w:lang w:val="en-US" w:eastAsia="zh-CN"/>
        </w:rPr>
        <w:t>其理论</w:t>
      </w:r>
      <w:r>
        <w:rPr>
          <w:rFonts w:hint="eastAsia" w:ascii="仿宋_GB2312" w:hAnsi="仿宋_GB2312" w:eastAsia="仿宋_GB2312" w:cs="仿宋_GB2312"/>
          <w:color w:val="auto"/>
          <w:sz w:val="32"/>
          <w:szCs w:val="32"/>
          <w:highlight w:val="none"/>
        </w:rPr>
        <w:t>原创性、技术</w:t>
      </w:r>
      <w:r>
        <w:rPr>
          <w:rFonts w:hint="eastAsia" w:ascii="仿宋_GB2312" w:hAnsi="仿宋_GB2312" w:eastAsia="仿宋_GB2312" w:cs="仿宋_GB2312"/>
          <w:color w:val="auto"/>
          <w:sz w:val="32"/>
          <w:szCs w:val="32"/>
          <w:highlight w:val="none"/>
          <w:lang w:eastAsia="zh-CN"/>
        </w:rPr>
        <w:t>颠覆</w:t>
      </w:r>
      <w:r>
        <w:rPr>
          <w:rFonts w:hint="eastAsia" w:ascii="仿宋_GB2312" w:hAnsi="仿宋_GB2312" w:eastAsia="仿宋_GB2312" w:cs="仿宋_GB2312"/>
          <w:color w:val="auto"/>
          <w:sz w:val="32"/>
          <w:szCs w:val="32"/>
          <w:highlight w:val="none"/>
        </w:rPr>
        <w:t>性和未来发展潜力</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择优遴选</w:t>
      </w:r>
      <w:r>
        <w:rPr>
          <w:rFonts w:hint="eastAsia" w:ascii="仿宋_GB2312" w:hAnsi="仿宋_GB2312" w:eastAsia="仿宋_GB2312" w:cs="仿宋_GB2312"/>
          <w:color w:val="auto"/>
          <w:sz w:val="32"/>
          <w:szCs w:val="32"/>
          <w:highlight w:val="none"/>
          <w:lang w:eastAsia="zh-CN"/>
        </w:rPr>
        <w:t>非共识</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继续</w:t>
      </w:r>
      <w:r>
        <w:rPr>
          <w:rFonts w:hint="eastAsia" w:ascii="仿宋_GB2312" w:hAnsi="仿宋_GB2312" w:eastAsia="仿宋_GB2312" w:cs="仿宋_GB2312"/>
          <w:color w:val="auto"/>
          <w:sz w:val="32"/>
          <w:szCs w:val="32"/>
          <w:highlight w:val="none"/>
        </w:rPr>
        <w:t>给</w:t>
      </w:r>
      <w:r>
        <w:rPr>
          <w:rFonts w:hint="eastAsia" w:ascii="仿宋_GB2312" w:hAnsi="仿宋_GB2312" w:eastAsia="仿宋_GB2312" w:cs="仿宋_GB2312"/>
          <w:b w:val="0"/>
          <w:bCs w:val="0"/>
          <w:color w:val="auto"/>
          <w:sz w:val="32"/>
          <w:szCs w:val="32"/>
          <w:highlight w:val="none"/>
        </w:rPr>
        <w:t>予</w:t>
      </w:r>
      <w:r>
        <w:rPr>
          <w:rFonts w:hint="eastAsia" w:ascii="仿宋_GB2312" w:hAnsi="仿宋_GB2312" w:eastAsia="仿宋_GB2312" w:cs="仿宋_GB2312"/>
          <w:b w:val="0"/>
          <w:bCs w:val="0"/>
          <w:color w:val="auto"/>
          <w:sz w:val="32"/>
          <w:szCs w:val="32"/>
          <w:highlight w:val="none"/>
          <w:lang w:val="en-US" w:eastAsia="zh-CN"/>
        </w:rPr>
        <w:t>每项100万元</w:t>
      </w:r>
      <w:r>
        <w:rPr>
          <w:rFonts w:hint="eastAsia" w:ascii="仿宋_GB2312" w:hAnsi="仿宋_GB2312" w:eastAsia="仿宋_GB2312" w:cs="仿宋_GB2312"/>
          <w:b w:val="0"/>
          <w:bCs w:val="0"/>
          <w:color w:val="auto"/>
          <w:sz w:val="32"/>
          <w:szCs w:val="32"/>
          <w:highlight w:val="none"/>
        </w:rPr>
        <w:t>滚动支持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可提前启动滚动支持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助力</w:t>
      </w:r>
      <w:r>
        <w:rPr>
          <w:rFonts w:hint="eastAsia" w:ascii="仿宋_GB2312" w:hAnsi="仿宋_GB2312" w:eastAsia="仿宋_GB2312" w:cs="仿宋_GB2312"/>
          <w:sz w:val="32"/>
          <w:szCs w:val="32"/>
          <w:highlight w:val="none"/>
        </w:rPr>
        <w:t>催生重大科学发现</w:t>
      </w:r>
      <w:r>
        <w:rPr>
          <w:rFonts w:hint="eastAsia" w:ascii="仿宋_GB2312" w:hAnsi="仿宋_GB2312" w:eastAsia="仿宋_GB2312" w:cs="仿宋_GB2312"/>
          <w:sz w:val="32"/>
          <w:szCs w:val="32"/>
          <w:highlight w:val="none"/>
          <w:lang w:eastAsia="zh-CN"/>
        </w:rPr>
        <w:t>。</w:t>
      </w:r>
    </w:p>
    <w:p w14:paraId="39D07CEC">
      <w:pPr>
        <w:pStyle w:val="8"/>
        <w:spacing w:beforeLines="0" w:after="0" w:afterLines="0" w:line="560" w:lineRule="exact"/>
        <w:ind w:firstLine="640" w:firstLineChars="200"/>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（七）营造宽松创新环境</w:t>
      </w:r>
    </w:p>
    <w:p w14:paraId="28CD50F9">
      <w:pPr>
        <w:pStyle w:val="8"/>
        <w:spacing w:beforeLines="0" w:after="0" w:afterLines="0" w:line="560" w:lineRule="exact"/>
        <w:ind w:firstLine="640" w:firstLineChars="200"/>
        <w:rPr>
          <w:rFonts w:hint="eastAsia" w:ascii="仿宋_GB2312" w:hAnsi="宋体" w:eastAsia="仿宋_GB2312" w:cs="宋体"/>
          <w:color w:val="auto"/>
          <w:kern w:val="0"/>
          <w:sz w:val="32"/>
          <w:szCs w:val="32"/>
          <w:lang w:val="en-US" w:eastAsia="zh-CN" w:bidi="ar-SA"/>
        </w:rPr>
      </w:pPr>
      <w:r>
        <w:rPr>
          <w:rFonts w:hint="eastAsia" w:ascii="仿宋_GB2312" w:hAnsi="仿宋_GB2312" w:eastAsia="仿宋_GB2312"/>
          <w:b w:val="0"/>
          <w:bCs/>
          <w:sz w:val="32"/>
        </w:rPr>
        <w:t>区别对待因科研不确定性未能实现预想目标和学术不端导致的项目失败，</w:t>
      </w:r>
      <w:r>
        <w:rPr>
          <w:rFonts w:hint="eastAsia" w:ascii="仿宋_GB2312" w:hAnsi="仿宋_GB2312" w:eastAsia="仿宋_GB2312"/>
          <w:bCs/>
          <w:sz w:val="32"/>
        </w:rPr>
        <w:t>科研人员已履行勤勉尽责义务且无违法违规行为，确因研究探索性强无法实现预期目标的，相关责任主体可予以免责</w:t>
      </w:r>
      <w:r>
        <w:rPr>
          <w:rFonts w:hint="eastAsia" w:ascii="仿宋_GB2312" w:hAnsi="仿宋_GB2312" w:eastAsia="仿宋_GB2312"/>
          <w:bCs/>
          <w:sz w:val="32"/>
          <w:lang w:eastAsia="zh-CN"/>
        </w:rPr>
        <w:t>，</w:t>
      </w:r>
      <w:r>
        <w:rPr>
          <w:rFonts w:hint="eastAsia" w:ascii="仿宋_GB2312" w:hAnsi="仿宋_GB2312" w:eastAsia="仿宋_GB2312"/>
          <w:bCs/>
          <w:sz w:val="32"/>
          <w:lang w:val="en-US" w:eastAsia="zh-CN"/>
        </w:rPr>
        <w:t>营造</w:t>
      </w:r>
      <w:r>
        <w:rPr>
          <w:rFonts w:hint="eastAsia" w:ascii="仿宋_GB2312" w:hAnsi="仿宋_GB2312" w:eastAsia="仿宋_GB2312"/>
          <w:b w:val="0"/>
          <w:bCs/>
          <w:sz w:val="32"/>
          <w:lang w:val="en-US" w:eastAsia="zh-CN"/>
        </w:rPr>
        <w:t>勇于探索</w:t>
      </w:r>
      <w:r>
        <w:rPr>
          <w:rFonts w:hint="eastAsia" w:ascii="仿宋_GB2312" w:hAnsi="仿宋_GB2312" w:eastAsia="仿宋_GB2312"/>
          <w:bCs/>
          <w:sz w:val="32"/>
        </w:rPr>
        <w:t>未知领域和挑战现有理论和认知框</w:t>
      </w:r>
      <w:r>
        <w:rPr>
          <w:rFonts w:hint="eastAsia" w:ascii="仿宋_GB2312" w:hAnsi="仿宋_GB2312" w:eastAsia="仿宋_GB2312"/>
          <w:bCs/>
          <w:sz w:val="32"/>
          <w:lang w:val="en-US" w:eastAsia="zh-CN"/>
        </w:rPr>
        <w:t>架</w:t>
      </w:r>
      <w:r>
        <w:rPr>
          <w:rFonts w:hint="eastAsia" w:ascii="仿宋_GB2312" w:hAnsi="仿宋_GB2312" w:eastAsia="仿宋_GB2312"/>
          <w:b w:val="0"/>
          <w:bCs/>
          <w:sz w:val="32"/>
          <w:lang w:val="en-US" w:eastAsia="zh-CN"/>
        </w:rPr>
        <w:t>的科研氛围，</w:t>
      </w:r>
      <w:r>
        <w:rPr>
          <w:rFonts w:hint="eastAsia" w:ascii="仿宋_GB2312" w:hAnsi="仿宋_GB2312" w:eastAsia="仿宋_GB2312"/>
          <w:bCs/>
          <w:sz w:val="32"/>
        </w:rPr>
        <w:t>推动原始创新和颠覆性技术的产生和发展</w:t>
      </w:r>
      <w:r>
        <w:rPr>
          <w:rFonts w:hint="eastAsia" w:ascii="仿宋_GB2312" w:hAnsi="仿宋_GB2312" w:eastAsia="仿宋_GB2312"/>
          <w:b w:val="0"/>
          <w:bCs/>
          <w:sz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105417-2D79-4E8B-8993-0E992C8B6A0F}"/>
  </w:font>
  <w:font w:name="黑体">
    <w:panose1 w:val="02010600030101010101"/>
    <w:charset w:val="86"/>
    <w:family w:val="auto"/>
    <w:pitch w:val="default"/>
    <w:sig w:usb0="800002BF" w:usb1="38CF7CFA" w:usb2="00000016" w:usb3="00000000" w:csb0="00040001" w:csb1="00000000"/>
    <w:embedRegular r:id="rId2" w:fontKey="{40FDDB58-6D3F-4EF6-AB4F-B34A22566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AC31F1B-3E4E-4ACC-9BF6-004CA853FC48}"/>
  </w:font>
  <w:font w:name="方正小标宋_GBK">
    <w:panose1 w:val="02000000000000000000"/>
    <w:charset w:val="86"/>
    <w:family w:val="auto"/>
    <w:pitch w:val="default"/>
    <w:sig w:usb0="00000001" w:usb1="080E0000" w:usb2="00000000" w:usb3="00000000" w:csb0="00040000" w:csb1="00000000"/>
    <w:embedRegular r:id="rId4" w:fontKey="{A05E5037-5C4E-4629-99AF-6D6B3BE71745}"/>
  </w:font>
  <w:font w:name="楷体_GB2312">
    <w:panose1 w:val="02010609030101010101"/>
    <w:charset w:val="86"/>
    <w:family w:val="auto"/>
    <w:pitch w:val="default"/>
    <w:sig w:usb0="00000001" w:usb1="080E0000" w:usb2="00000000" w:usb3="00000000" w:csb0="00040000" w:csb1="00000000"/>
    <w:embedRegular r:id="rId5" w:fontKey="{D9952291-190C-432A-8F89-59214DE01A9B}"/>
  </w:font>
  <w:font w:name="仿宋_GB2312">
    <w:panose1 w:val="02010609030101010101"/>
    <w:charset w:val="86"/>
    <w:family w:val="auto"/>
    <w:pitch w:val="default"/>
    <w:sig w:usb0="00000001" w:usb1="080E0000" w:usb2="00000000" w:usb3="00000000" w:csb0="00040000" w:csb1="00000000"/>
    <w:embedRegular r:id="rId6" w:fontKey="{D4B4BDEB-FE89-493A-B5E5-14A0B299DE85}"/>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embedRegular r:id="rId7" w:fontKey="{8F0E3DC6-28F6-407D-8924-3ED1A7A28378}"/>
  </w:font>
  <w:font w:name="仿宋">
    <w:panose1 w:val="02010609060101010101"/>
    <w:charset w:val="86"/>
    <w:family w:val="modern"/>
    <w:pitch w:val="default"/>
    <w:sig w:usb0="800002BF" w:usb1="38CF7CFA" w:usb2="00000016" w:usb3="00000000" w:csb0="00040001" w:csb1="00000000"/>
    <w:embedRegular r:id="rId8" w:fontKey="{D9F847D9-F1C5-457A-89B6-73ED36D2BE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E9C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8F60CE6">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14:paraId="08F60CE6">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3D5339"/>
    <w:rsid w:val="0040339F"/>
    <w:rsid w:val="00453B0B"/>
    <w:rsid w:val="00530BEF"/>
    <w:rsid w:val="00612F35"/>
    <w:rsid w:val="006417BA"/>
    <w:rsid w:val="009659CC"/>
    <w:rsid w:val="00AC66BE"/>
    <w:rsid w:val="00CC0FD9"/>
    <w:rsid w:val="029518C1"/>
    <w:rsid w:val="02F76C95"/>
    <w:rsid w:val="04582942"/>
    <w:rsid w:val="049B245F"/>
    <w:rsid w:val="04AA76F8"/>
    <w:rsid w:val="06494D3A"/>
    <w:rsid w:val="071163A2"/>
    <w:rsid w:val="07472077"/>
    <w:rsid w:val="08314A7B"/>
    <w:rsid w:val="08EE7D90"/>
    <w:rsid w:val="0922472B"/>
    <w:rsid w:val="0ABE2221"/>
    <w:rsid w:val="0C3A18FA"/>
    <w:rsid w:val="0D6276FC"/>
    <w:rsid w:val="0D8617A7"/>
    <w:rsid w:val="0D9420D1"/>
    <w:rsid w:val="0EA518FD"/>
    <w:rsid w:val="0F08794F"/>
    <w:rsid w:val="10FF3EF4"/>
    <w:rsid w:val="1196445C"/>
    <w:rsid w:val="11A77C51"/>
    <w:rsid w:val="11F1743F"/>
    <w:rsid w:val="125F245C"/>
    <w:rsid w:val="14636155"/>
    <w:rsid w:val="14793FBD"/>
    <w:rsid w:val="17CB1795"/>
    <w:rsid w:val="18953609"/>
    <w:rsid w:val="19AC4168"/>
    <w:rsid w:val="19E84A98"/>
    <w:rsid w:val="1C177904"/>
    <w:rsid w:val="1C98083D"/>
    <w:rsid w:val="1CE02171"/>
    <w:rsid w:val="1E412F66"/>
    <w:rsid w:val="1EE937D9"/>
    <w:rsid w:val="1F574BE7"/>
    <w:rsid w:val="1F792701"/>
    <w:rsid w:val="20EF197D"/>
    <w:rsid w:val="221B7746"/>
    <w:rsid w:val="22DEA3E5"/>
    <w:rsid w:val="230E3F01"/>
    <w:rsid w:val="231921B3"/>
    <w:rsid w:val="235F22BC"/>
    <w:rsid w:val="2468782F"/>
    <w:rsid w:val="25842818"/>
    <w:rsid w:val="26EA27E4"/>
    <w:rsid w:val="26F07AEA"/>
    <w:rsid w:val="276205CD"/>
    <w:rsid w:val="2C216675"/>
    <w:rsid w:val="2CA04DF8"/>
    <w:rsid w:val="2CDC4439"/>
    <w:rsid w:val="2D992D81"/>
    <w:rsid w:val="2DA951D3"/>
    <w:rsid w:val="2DE80AA5"/>
    <w:rsid w:val="31191AC7"/>
    <w:rsid w:val="313E2766"/>
    <w:rsid w:val="31BE6B88"/>
    <w:rsid w:val="325F5E35"/>
    <w:rsid w:val="337F000D"/>
    <w:rsid w:val="33C10429"/>
    <w:rsid w:val="351869CC"/>
    <w:rsid w:val="36116540"/>
    <w:rsid w:val="37030A0A"/>
    <w:rsid w:val="37357164"/>
    <w:rsid w:val="379C5435"/>
    <w:rsid w:val="37B06CE3"/>
    <w:rsid w:val="37E448B3"/>
    <w:rsid w:val="387F64BE"/>
    <w:rsid w:val="38AE1ABC"/>
    <w:rsid w:val="394A1541"/>
    <w:rsid w:val="3A2C6A9C"/>
    <w:rsid w:val="3A6C1A3B"/>
    <w:rsid w:val="3B9C1EA7"/>
    <w:rsid w:val="3D1F0AB9"/>
    <w:rsid w:val="3D770016"/>
    <w:rsid w:val="3DAB4F71"/>
    <w:rsid w:val="3E171FEA"/>
    <w:rsid w:val="3EA37093"/>
    <w:rsid w:val="3EF56748"/>
    <w:rsid w:val="406760AD"/>
    <w:rsid w:val="40994C08"/>
    <w:rsid w:val="43D1778C"/>
    <w:rsid w:val="44B042E0"/>
    <w:rsid w:val="45467E40"/>
    <w:rsid w:val="458D4F3F"/>
    <w:rsid w:val="462907DC"/>
    <w:rsid w:val="46AC0C10"/>
    <w:rsid w:val="46AE1AC9"/>
    <w:rsid w:val="476CBC61"/>
    <w:rsid w:val="48B54623"/>
    <w:rsid w:val="49247890"/>
    <w:rsid w:val="49AA085A"/>
    <w:rsid w:val="49B20AE8"/>
    <w:rsid w:val="49CC3714"/>
    <w:rsid w:val="4C6D7E6B"/>
    <w:rsid w:val="4CBD0D5F"/>
    <w:rsid w:val="4CE861D9"/>
    <w:rsid w:val="4D16138E"/>
    <w:rsid w:val="4F4862C2"/>
    <w:rsid w:val="50016325"/>
    <w:rsid w:val="50405CE9"/>
    <w:rsid w:val="504E2135"/>
    <w:rsid w:val="5168736D"/>
    <w:rsid w:val="517049C3"/>
    <w:rsid w:val="518A03A4"/>
    <w:rsid w:val="52AF742A"/>
    <w:rsid w:val="534A7FE3"/>
    <w:rsid w:val="5576526C"/>
    <w:rsid w:val="57CF2865"/>
    <w:rsid w:val="58303134"/>
    <w:rsid w:val="591E5852"/>
    <w:rsid w:val="5A7C22EE"/>
    <w:rsid w:val="5AEF3F50"/>
    <w:rsid w:val="5CCC5BFD"/>
    <w:rsid w:val="5CD823BB"/>
    <w:rsid w:val="5D456D7F"/>
    <w:rsid w:val="5DBB20D6"/>
    <w:rsid w:val="5E374B08"/>
    <w:rsid w:val="5E482A75"/>
    <w:rsid w:val="5E65B75E"/>
    <w:rsid w:val="5FD9A5EF"/>
    <w:rsid w:val="6077740D"/>
    <w:rsid w:val="608D0A66"/>
    <w:rsid w:val="60CB12C4"/>
    <w:rsid w:val="61734BA9"/>
    <w:rsid w:val="61951877"/>
    <w:rsid w:val="62AB074E"/>
    <w:rsid w:val="63E31B72"/>
    <w:rsid w:val="640163C1"/>
    <w:rsid w:val="64813B98"/>
    <w:rsid w:val="64A474D9"/>
    <w:rsid w:val="64E57B6C"/>
    <w:rsid w:val="6555633C"/>
    <w:rsid w:val="660F30F2"/>
    <w:rsid w:val="665644FB"/>
    <w:rsid w:val="6708221F"/>
    <w:rsid w:val="69DE195D"/>
    <w:rsid w:val="6B3C7DBA"/>
    <w:rsid w:val="6B943721"/>
    <w:rsid w:val="6C4349BF"/>
    <w:rsid w:val="6C8E68C4"/>
    <w:rsid w:val="6DFFE62D"/>
    <w:rsid w:val="6F7743DD"/>
    <w:rsid w:val="70305305"/>
    <w:rsid w:val="71F51E5B"/>
    <w:rsid w:val="730420D2"/>
    <w:rsid w:val="73816CB2"/>
    <w:rsid w:val="74065F76"/>
    <w:rsid w:val="758B7AAE"/>
    <w:rsid w:val="76263BC6"/>
    <w:rsid w:val="76F77AD0"/>
    <w:rsid w:val="776F7643"/>
    <w:rsid w:val="77C83101"/>
    <w:rsid w:val="78016F56"/>
    <w:rsid w:val="79F70D0C"/>
    <w:rsid w:val="7BE1384F"/>
    <w:rsid w:val="7C9F06E9"/>
    <w:rsid w:val="7DE67AAD"/>
    <w:rsid w:val="7DEB7181"/>
    <w:rsid w:val="7E9FBFBD"/>
    <w:rsid w:val="7EBAD3DF"/>
    <w:rsid w:val="7F1A5AC0"/>
    <w:rsid w:val="DFF7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60" w:lineRule="exact"/>
      <w:jc w:val="center"/>
      <w:outlineLvl w:val="0"/>
    </w:pPr>
    <w:rPr>
      <w:rFonts w:eastAsia="方正小标宋_GBK"/>
      <w:kern w:val="44"/>
      <w:sz w:val="44"/>
    </w:rPr>
  </w:style>
  <w:style w:type="paragraph" w:styleId="4">
    <w:name w:val="heading 2"/>
    <w:basedOn w:val="1"/>
    <w:next w:val="1"/>
    <w:qFormat/>
    <w:uiPriority w:val="0"/>
    <w:pPr>
      <w:keepNext/>
      <w:keepLines/>
      <w:spacing w:line="560" w:lineRule="exact"/>
      <w:ind w:firstLine="880" w:firstLineChars="200"/>
      <w:jc w:val="left"/>
      <w:outlineLvl w:val="1"/>
    </w:pPr>
    <w:rPr>
      <w:rFonts w:ascii="Arial" w:hAnsi="Arial" w:eastAsia="黑体"/>
      <w:sz w:val="32"/>
    </w:rPr>
  </w:style>
  <w:style w:type="paragraph" w:styleId="5">
    <w:name w:val="heading 3"/>
    <w:basedOn w:val="1"/>
    <w:next w:val="1"/>
    <w:link w:val="26"/>
    <w:qFormat/>
    <w:uiPriority w:val="0"/>
    <w:pPr>
      <w:keepNext/>
      <w:keepLines/>
      <w:spacing w:line="560" w:lineRule="exact"/>
      <w:ind w:firstLine="880" w:firstLineChars="200"/>
      <w:jc w:val="left"/>
      <w:outlineLvl w:val="2"/>
    </w:pPr>
    <w:rPr>
      <w:rFonts w:eastAsia="楷体_GB2312"/>
      <w:sz w:val="32"/>
    </w:rPr>
  </w:style>
  <w:style w:type="paragraph" w:styleId="6">
    <w:name w:val="heading 4"/>
    <w:basedOn w:val="1"/>
    <w:next w:val="1"/>
    <w:qFormat/>
    <w:uiPriority w:val="0"/>
    <w:pPr>
      <w:keepNext/>
      <w:keepLines/>
      <w:spacing w:line="560" w:lineRule="exact"/>
      <w:ind w:firstLine="880" w:firstLineChars="200"/>
      <w:outlineLvl w:val="3"/>
    </w:pPr>
    <w:rPr>
      <w:rFonts w:ascii="Times New Roman" w:hAnsi="Times New Roman" w:eastAsia="仿宋_GB2312"/>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next w:val="10"/>
    <w:qFormat/>
    <w:uiPriority w:val="0"/>
    <w:pPr>
      <w:ind w:firstLine="880"/>
    </w:pPr>
    <w:rPr>
      <w:rFonts w:ascii="宋体" w:hAnsi="Courier New" w:cs="Times New Roman"/>
    </w:rPr>
  </w:style>
  <w:style w:type="paragraph" w:styleId="10">
    <w:name w:val="index 9"/>
    <w:basedOn w:val="1"/>
    <w:next w:val="1"/>
    <w:unhideWhenUsed/>
    <w:qFormat/>
    <w:uiPriority w:val="99"/>
    <w:pPr>
      <w:ind w:firstLine="420"/>
    </w:pPr>
    <w:rPr>
      <w:rFonts w:cs="Times New Roman"/>
    </w:rPr>
  </w:style>
  <w:style w:type="paragraph" w:styleId="11">
    <w:name w:val="Balloon Text"/>
    <w:basedOn w:val="1"/>
    <w:link w:val="27"/>
    <w:qFormat/>
    <w:uiPriority w:val="0"/>
    <w:rPr>
      <w:sz w:val="18"/>
      <w:szCs w:val="18"/>
    </w:rPr>
  </w:style>
  <w:style w:type="paragraph" w:styleId="12">
    <w:name w:val="footer"/>
    <w:basedOn w:val="1"/>
    <w:qFormat/>
    <w:uiPriority w:val="99"/>
    <w:pPr>
      <w:tabs>
        <w:tab w:val="center" w:pos="4153"/>
        <w:tab w:val="right" w:pos="8306"/>
      </w:tabs>
      <w:snapToGrid w:val="0"/>
      <w:spacing w:line="240" w:lineRule="atLeast"/>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8">
    <w:name w:val="Strong"/>
    <w:basedOn w:val="17"/>
    <w:qFormat/>
    <w:uiPriority w:val="0"/>
    <w:rPr>
      <w:b/>
    </w:rPr>
  </w:style>
  <w:style w:type="character" w:styleId="19">
    <w:name w:val="FollowedHyperlink"/>
    <w:basedOn w:val="17"/>
    <w:qFormat/>
    <w:uiPriority w:val="0"/>
    <w:rPr>
      <w:rFonts w:hint="eastAsia" w:ascii="微软雅黑" w:hAnsi="微软雅黑" w:eastAsia="微软雅黑" w:cs="微软雅黑"/>
      <w:color w:val="333333"/>
      <w:u w:val="none"/>
    </w:rPr>
  </w:style>
  <w:style w:type="character" w:styleId="20">
    <w:name w:val="Emphasis"/>
    <w:basedOn w:val="17"/>
    <w:qFormat/>
    <w:uiPriority w:val="0"/>
    <w:rPr>
      <w:i/>
    </w:rPr>
  </w:style>
  <w:style w:type="character" w:styleId="21">
    <w:name w:val="Hyperlink"/>
    <w:basedOn w:val="17"/>
    <w:qFormat/>
    <w:uiPriority w:val="0"/>
    <w:rPr>
      <w:rFonts w:ascii="微软雅黑" w:hAnsi="微软雅黑" w:eastAsia="微软雅黑" w:cs="微软雅黑"/>
      <w:color w:val="333333"/>
      <w:u w:val="none"/>
    </w:rPr>
  </w:style>
  <w:style w:type="paragraph" w:customStyle="1" w:styleId="22">
    <w:name w:val="1正文"/>
    <w:basedOn w:val="1"/>
    <w:qFormat/>
    <w:uiPriority w:val="0"/>
    <w:pPr>
      <w:snapToGrid w:val="0"/>
      <w:spacing w:line="560" w:lineRule="exact"/>
      <w:ind w:firstLine="200" w:firstLineChars="200"/>
      <w:jc w:val="left"/>
    </w:pPr>
    <w:rPr>
      <w:rFonts w:ascii="仿宋_GB2312" w:hAnsi="仿宋_GB2312" w:eastAsia="仿宋_GB2312"/>
      <w:sz w:val="32"/>
    </w:rPr>
  </w:style>
  <w:style w:type="paragraph" w:customStyle="1" w:styleId="23">
    <w:name w:val="1标题第1层"/>
    <w:basedOn w:val="1"/>
    <w:next w:val="1"/>
    <w:qFormat/>
    <w:uiPriority w:val="0"/>
    <w:pPr>
      <w:keepNext/>
      <w:keepLines/>
      <w:snapToGrid w:val="0"/>
      <w:outlineLvl w:val="1"/>
    </w:pPr>
    <w:rPr>
      <w:rFonts w:ascii="黑体" w:eastAsia="黑体" w:cs="Times New Roman"/>
      <w:sz w:val="32"/>
      <w:szCs w:val="21"/>
    </w:rPr>
  </w:style>
  <w:style w:type="paragraph" w:customStyle="1" w:styleId="24">
    <w:name w:val="1标题第2层"/>
    <w:basedOn w:val="1"/>
    <w:next w:val="22"/>
    <w:qFormat/>
    <w:uiPriority w:val="0"/>
    <w:pPr>
      <w:keepNext/>
      <w:keepLines/>
      <w:snapToGrid w:val="0"/>
      <w:outlineLvl w:val="2"/>
    </w:pPr>
    <w:rPr>
      <w:rFonts w:ascii="楷体_GB2312" w:eastAsia="楷体_GB2312" w:cs="Times New Roman"/>
      <w:sz w:val="32"/>
      <w:szCs w:val="21"/>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标题 3 Char"/>
    <w:link w:val="5"/>
    <w:qFormat/>
    <w:uiPriority w:val="0"/>
    <w:rPr>
      <w:rFonts w:ascii="Calibri" w:hAnsi="Calibri" w:eastAsia="楷体_GB2312"/>
      <w:sz w:val="32"/>
    </w:rPr>
  </w:style>
  <w:style w:type="character" w:customStyle="1" w:styleId="27">
    <w:name w:val="批注框文本 Char"/>
    <w:basedOn w:val="17"/>
    <w:link w:val="11"/>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2555</Words>
  <Characters>2572</Characters>
  <Lines>1</Lines>
  <Paragraphs>1</Paragraphs>
  <TotalTime>8</TotalTime>
  <ScaleCrop>false</ScaleCrop>
  <LinksUpToDate>false</LinksUpToDate>
  <CharactersWithSpaces>2572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2021-01-22T12:18:00Z</dcterms:created>
  <dc:creator>seven</dc:creator>
  <cp:lastModifiedBy>姜淇耀</cp:lastModifiedBy>
  <cp:lastPrinted>2024-08-10T05:57:00Z</cp:lastPrinted>
  <dcterms:modified xsi:type="dcterms:W3CDTF">2024-08-15T12:35:18Z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226524875_cloud</vt:lpwstr>
  </property>
  <property fmtid="{D5CDD505-2E9C-101B-9397-08002B2CF9AE}" pid="4" name="ICV">
    <vt:lpwstr>390F3AE76F694DE795EC8276BA0BCA56_13</vt:lpwstr>
  </property>
</Properties>
</file>