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color w:val="auto"/>
          <w:sz w:val="44"/>
          <w:szCs w:val="44"/>
        </w:rPr>
      </w:pPr>
      <w:bookmarkStart w:id="0" w:name="_GoBack"/>
      <w:bookmarkEnd w:id="0"/>
      <w:r>
        <w:rPr>
          <w:rFonts w:hint="eastAsia" w:ascii="方正小标宋_GBK" w:eastAsia="方正小标宋_GBK"/>
          <w:color w:val="auto"/>
          <w:sz w:val="44"/>
          <w:szCs w:val="44"/>
        </w:rPr>
        <w:t>北京市设计创新中心认定管理办法</w:t>
      </w:r>
    </w:p>
    <w:p>
      <w:pPr>
        <w:jc w:val="center"/>
        <w:rPr>
          <w:rFonts w:hint="eastAsia" w:ascii="方正小标宋_GBK" w:eastAsia="方正小标宋_GBK"/>
          <w:color w:val="auto"/>
          <w:sz w:val="44"/>
          <w:szCs w:val="44"/>
          <w:lang w:eastAsia="zh-CN"/>
        </w:rPr>
      </w:pPr>
      <w:r>
        <w:rPr>
          <w:rFonts w:hint="eastAsia" w:ascii="方正小标宋_GBK" w:eastAsia="方正小标宋_GBK"/>
          <w:color w:val="auto"/>
          <w:sz w:val="44"/>
          <w:szCs w:val="44"/>
          <w:lang w:eastAsia="zh-CN"/>
        </w:rPr>
        <w:t>（修订草案）</w:t>
      </w:r>
      <w:r>
        <w:rPr>
          <w:rFonts w:hint="eastAsia" w:ascii="方正小标宋_GBK" w:eastAsia="方正小标宋_GBK"/>
          <w:color w:val="auto"/>
          <w:sz w:val="44"/>
          <w:szCs w:val="44"/>
        </w:rPr>
        <w:t>（征求意见稿）</w:t>
      </w:r>
    </w:p>
    <w:p>
      <w:pPr>
        <w:jc w:val="center"/>
        <w:rPr>
          <w:rFonts w:hint="eastAsia" w:ascii="方正小标宋_GBK" w:eastAsia="方正小标宋_GBK"/>
          <w:color w:val="auto"/>
          <w:sz w:val="44"/>
          <w:szCs w:val="44"/>
        </w:rPr>
      </w:pPr>
    </w:p>
    <w:p>
      <w:pPr>
        <w:jc w:val="center"/>
        <w:rPr>
          <w:rFonts w:hint="eastAsia" w:ascii="仿宋" w:hAnsi="仿宋" w:eastAsia="仿宋"/>
          <w:color w:val="auto"/>
          <w:sz w:val="32"/>
          <w:szCs w:val="32"/>
        </w:rPr>
      </w:pPr>
      <w:r>
        <w:rPr>
          <w:rFonts w:hint="eastAsia" w:ascii="黑体" w:hAnsi="黑体" w:eastAsia="黑体"/>
          <w:color w:val="auto"/>
          <w:sz w:val="32"/>
          <w:szCs w:val="32"/>
        </w:rPr>
        <w:t>第一章  总则</w:t>
      </w:r>
    </w:p>
    <w:p>
      <w:pPr>
        <w:ind w:firstLine="643" w:firstLineChars="200"/>
        <w:rPr>
          <w:rFonts w:hint="eastAsia" w:ascii="仿宋_GB2312" w:hAnsi="仿宋_GB2312" w:eastAsia="仿宋_GB2312" w:cs="仿宋_GB2312"/>
          <w:color w:val="auto"/>
          <w:sz w:val="32"/>
          <w:szCs w:val="32"/>
          <w:lang w:val="zh-TW"/>
        </w:rPr>
      </w:pPr>
      <w:r>
        <w:rPr>
          <w:rFonts w:hint="eastAsia" w:ascii="仿宋_GB2312" w:hAnsi="仿宋" w:eastAsia="仿宋_GB2312"/>
          <w:b/>
          <w:color w:val="auto"/>
          <w:sz w:val="32"/>
          <w:szCs w:val="32"/>
        </w:rPr>
        <w:t>第一条</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为贯彻落实《国务院关于推进文化创意和设计服务与相关产业融合发展的若干意见》（国发〔2014〕10号）、《关于促进文化和科技深度融合的指导意见》（国科发高〔2019〕280号）、《北京加强全国科技创新中心建设总体方案》（国发〔2016〕52号）、《中共北京市委、北京市人民政府关于印发加快科技创新构建高精尖经济结构系列文件的通知》（京发〔2017〕27号）、《北京市“十四五”时期国际科技创新中心建设规划》、《关于北京市推动先进制造业和现代服务业深度融合发展的实施意见》（京发改〔2023〕83号等文件精神，坚持和强化国际科技创新中心的核心功能，全面推进“设计之都”建设，提升企业设计创新能力，做大做强设计产业，特制定本办法。</w:t>
      </w:r>
    </w:p>
    <w:p>
      <w:pPr>
        <w:ind w:firstLine="643"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第二条</w:t>
      </w:r>
      <w:r>
        <w:rPr>
          <w:rFonts w:hint="eastAsia" w:ascii="仿宋_GB2312" w:hAnsi="仿宋" w:eastAsia="仿宋_GB2312"/>
          <w:color w:val="auto"/>
          <w:sz w:val="32"/>
          <w:szCs w:val="32"/>
        </w:rPr>
        <w:t xml:space="preserve">  本办法所称的设计是指集成科学技术、文化艺术与社会经济要素，基于智力和创意，利用现代科技手段，提升生产、生活价值和品质的创新活动，包括</w:t>
      </w:r>
      <w:r>
        <w:rPr>
          <w:rFonts w:hint="eastAsia" w:ascii="仿宋_GB2312" w:hAnsi="仿宋_GB2312" w:eastAsia="仿宋_GB2312" w:cs="仿宋_GB2312"/>
          <w:color w:val="auto"/>
          <w:sz w:val="32"/>
          <w:szCs w:val="32"/>
        </w:rPr>
        <w:t>工业设计、集成电路设计、服装设计、时尚设计、工艺美术设计、建筑设计、工程设计、规划设计、平面设计、动漫设计、展示设计及其他新兴设计领</w:t>
      </w:r>
      <w:r>
        <w:rPr>
          <w:rFonts w:hint="eastAsia" w:ascii="仿宋_GB2312" w:hAnsi="仿宋" w:eastAsia="仿宋_GB2312"/>
          <w:color w:val="auto"/>
          <w:sz w:val="32"/>
          <w:szCs w:val="32"/>
        </w:rPr>
        <w:t>域。</w:t>
      </w:r>
    </w:p>
    <w:p>
      <w:pPr>
        <w:ind w:firstLine="643" w:firstLineChars="200"/>
        <w:rPr>
          <w:rFonts w:hint="eastAsia" w:ascii="仿宋_GB2312" w:hAnsi="仿宋" w:eastAsia="仿宋_GB2312"/>
          <w:color w:val="auto"/>
          <w:sz w:val="32"/>
          <w:szCs w:val="32"/>
        </w:rPr>
      </w:pPr>
      <w:r>
        <w:rPr>
          <w:rFonts w:hint="eastAsia" w:ascii="仿宋_GB2312" w:hAnsi="仿宋_GB2312" w:eastAsia="仿宋_GB2312" w:cs="仿宋_GB2312"/>
          <w:b/>
          <w:bCs/>
          <w:color w:val="auto"/>
          <w:sz w:val="32"/>
          <w:szCs w:val="32"/>
        </w:rPr>
        <w:t xml:space="preserve">第三条 </w:t>
      </w:r>
      <w:r>
        <w:rPr>
          <w:rFonts w:hint="eastAsia" w:ascii="仿宋_GB2312" w:hAnsi="仿宋" w:eastAsia="仿宋_GB2312"/>
          <w:color w:val="auto"/>
          <w:sz w:val="32"/>
          <w:szCs w:val="32"/>
        </w:rPr>
        <w:t>北京市设</w:t>
      </w:r>
      <w:r>
        <w:rPr>
          <w:rFonts w:hint="eastAsia" w:ascii="仿宋_GB2312" w:hAnsi="仿宋_GB2312" w:eastAsia="仿宋_GB2312" w:cs="仿宋_GB2312"/>
          <w:color w:val="auto"/>
          <w:sz w:val="32"/>
          <w:szCs w:val="32"/>
        </w:rPr>
        <w:t>计创新中心是指经</w:t>
      </w:r>
      <w:r>
        <w:rPr>
          <w:rFonts w:hint="eastAsia" w:ascii="仿宋_GB2312" w:hAnsi="仿宋_GB2312" w:eastAsia="仿宋_GB2312" w:cs="仿宋_GB2312"/>
          <w:color w:val="auto"/>
          <w:sz w:val="32"/>
          <w:szCs w:val="32"/>
          <w:lang w:bidi="ar"/>
        </w:rPr>
        <w:t>北京市科学技术委员会、中关村科技园区管理委员会</w:t>
      </w:r>
      <w:r>
        <w:rPr>
          <w:rFonts w:hint="eastAsia" w:ascii="仿宋_GB2312" w:hAnsi="仿宋_GB2312" w:eastAsia="仿宋_GB2312" w:cs="仿宋_GB2312"/>
          <w:color w:val="auto"/>
          <w:sz w:val="32"/>
          <w:szCs w:val="32"/>
        </w:rPr>
        <w:t>（以下简称“市科委、中关村管委会”）认定，设计创新基础良好、队伍建设完备、设计能力较强、业绩突出或设计特色突出，高成长的法人单位。</w:t>
      </w:r>
      <w:r>
        <w:rPr>
          <w:rFonts w:hint="eastAsia" w:ascii="仿宋_GB2312" w:eastAsia="仿宋_GB2312"/>
          <w:color w:val="auto"/>
          <w:sz w:val="32"/>
          <w:szCs w:val="32"/>
        </w:rPr>
        <w:t>特别支持以设计创新赋能关键技术研发、科技成果转化、系统集成应用、促进两业融合发展，以设计创新服务高精尖产业，引领全产业链创新，鼓励以设计思维和手段催生新模式、新方法、新场景、新消费、新业态的法人单位。</w:t>
      </w:r>
    </w:p>
    <w:p>
      <w:pPr>
        <w:ind w:firstLine="643" w:firstLineChars="200"/>
        <w:rPr>
          <w:rFonts w:hint="eastAsia" w:ascii="仿宋_GB2312" w:hAnsi="仿宋" w:eastAsia="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 xml:space="preserve">  市科委、中关村管委会负责北京市设计创新中心认定管</w:t>
      </w:r>
      <w:r>
        <w:rPr>
          <w:rFonts w:hint="eastAsia" w:ascii="仿宋_GB2312" w:hAnsi="仿宋" w:eastAsia="仿宋_GB2312"/>
          <w:color w:val="auto"/>
          <w:sz w:val="32"/>
          <w:szCs w:val="32"/>
        </w:rPr>
        <w:t>理工作。认定中坚持自愿申报，公开、公平、公正的原则。</w:t>
      </w:r>
    </w:p>
    <w:p>
      <w:pPr>
        <w:jc w:val="center"/>
        <w:rPr>
          <w:rFonts w:hint="eastAsia" w:ascii="黑体" w:hAnsi="黑体" w:eastAsia="黑体"/>
          <w:color w:val="auto"/>
          <w:sz w:val="32"/>
          <w:szCs w:val="32"/>
        </w:rPr>
      </w:pPr>
      <w:r>
        <w:rPr>
          <w:rFonts w:hint="eastAsia" w:ascii="黑体" w:hAnsi="黑体" w:eastAsia="黑体"/>
          <w:color w:val="auto"/>
          <w:sz w:val="32"/>
          <w:szCs w:val="32"/>
        </w:rPr>
        <w:t>第二章  申报条件</w:t>
      </w:r>
    </w:p>
    <w:p>
      <w:pPr>
        <w:ind w:firstLine="643" w:firstLineChars="200"/>
        <w:rPr>
          <w:rFonts w:ascii="仿宋_GB2312" w:eastAsia="仿宋_GB2312"/>
          <w:color w:val="auto"/>
          <w:sz w:val="32"/>
          <w:szCs w:val="32"/>
        </w:rPr>
      </w:pPr>
      <w:r>
        <w:rPr>
          <w:rFonts w:hint="eastAsia" w:ascii="仿宋_GB2312" w:hAnsi="仿宋" w:eastAsia="仿宋_GB2312"/>
          <w:b/>
          <w:color w:val="auto"/>
          <w:sz w:val="32"/>
          <w:szCs w:val="32"/>
        </w:rPr>
        <w:t>第五条</w:t>
      </w:r>
      <w:r>
        <w:rPr>
          <w:rFonts w:hint="eastAsia" w:ascii="仿宋_GB2312" w:hAnsi="仿宋" w:eastAsia="仿宋_GB2312"/>
          <w:color w:val="auto"/>
          <w:sz w:val="32"/>
          <w:szCs w:val="32"/>
        </w:rPr>
        <w:t xml:space="preserve">  申报北京市设计创新中心的主体为在北京市行政区域内注册的法人单位。主要分为两类，包括以设计为主营业务的法人单位，拥有设计创新部门（机构）的法人单位。</w:t>
      </w:r>
      <w:r>
        <w:rPr>
          <w:rFonts w:hint="eastAsia" w:ascii="仿宋_GB2312" w:eastAsia="仿宋_GB2312"/>
          <w:color w:val="auto"/>
          <w:sz w:val="32"/>
          <w:szCs w:val="32"/>
        </w:rPr>
        <w:t>重点聚焦以工业设计为主营业务、拥有工业设计部门（机构）的法人单位。重点支持“三城一区”（中关村科学城、怀柔科学城、未来科学城、北京经济技术开发区）和北京城市副中心区域内注册的法人单位。</w:t>
      </w:r>
    </w:p>
    <w:p>
      <w:pPr>
        <w:ind w:firstLine="643" w:firstLineChars="200"/>
        <w:rPr>
          <w:rFonts w:hint="eastAsia" w:ascii="仿宋_GB2312" w:hAnsi="仿宋_GB2312" w:eastAsia="仿宋_GB2312" w:cs="仿宋_GB2312"/>
          <w:color w:val="auto"/>
          <w:sz w:val="32"/>
          <w:szCs w:val="32"/>
        </w:rPr>
      </w:pPr>
      <w:r>
        <w:rPr>
          <w:rFonts w:hint="eastAsia" w:ascii="仿宋_GB2312" w:hAnsi="仿宋" w:eastAsia="仿宋_GB2312"/>
          <w:b/>
          <w:color w:val="auto"/>
          <w:sz w:val="32"/>
          <w:szCs w:val="32"/>
        </w:rPr>
        <w:t xml:space="preserve">第六条  </w:t>
      </w:r>
      <w:r>
        <w:rPr>
          <w:rFonts w:hint="eastAsia" w:ascii="仿宋_GB2312" w:hAnsi="仿宋" w:eastAsia="仿宋_GB2312"/>
          <w:bCs/>
          <w:color w:val="auto"/>
          <w:sz w:val="32"/>
          <w:szCs w:val="32"/>
        </w:rPr>
        <w:t>申报主体需为被认定的高新技术法人单位，所从事业务应当符合北京城市战略定位、符合北京市国际科技创新中心建设要求和构建“高精尖”经济结构发展要求，拥有较好的设计创新基础和经验，在行业内具有明显的规模优势和竞争优势。</w:t>
      </w:r>
    </w:p>
    <w:p>
      <w:pPr>
        <w:ind w:firstLine="643"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第七条</w:t>
      </w:r>
      <w:r>
        <w:rPr>
          <w:rFonts w:hint="eastAsia" w:ascii="仿宋_GB2312" w:hAnsi="仿宋" w:eastAsia="仿宋_GB2312"/>
          <w:color w:val="auto"/>
          <w:sz w:val="32"/>
          <w:szCs w:val="32"/>
        </w:rPr>
        <w:t xml:space="preserve">  以设计为主营业务的法人单位申请认定应具备以下条件：</w:t>
      </w:r>
    </w:p>
    <w:p>
      <w:pPr>
        <w:ind w:firstLine="640" w:firstLineChars="200"/>
        <w:rPr>
          <w:rFonts w:hint="eastAsia" w:ascii="仿宋_GB2312" w:hAnsi="仿宋_GB2312" w:eastAsia="仿宋_GB2312" w:cs="仿宋_GB2312"/>
          <w:color w:val="auto"/>
          <w:sz w:val="32"/>
          <w:szCs w:val="32"/>
        </w:rPr>
      </w:pPr>
      <w:r>
        <w:rPr>
          <w:rFonts w:hint="eastAsia" w:ascii="仿宋_GB2312" w:hAnsi="仿宋" w:eastAsia="仿宋_GB2312"/>
          <w:color w:val="auto"/>
          <w:sz w:val="32"/>
          <w:szCs w:val="32"/>
        </w:rPr>
        <w:t>（一）以</w:t>
      </w:r>
      <w:r>
        <w:rPr>
          <w:rFonts w:hint="eastAsia" w:ascii="仿宋_GB2312" w:hAnsi="仿宋_GB2312" w:eastAsia="仿宋_GB2312" w:cs="仿宋_GB2312"/>
          <w:color w:val="auto"/>
          <w:sz w:val="32"/>
          <w:szCs w:val="32"/>
        </w:rPr>
        <w:t>工业设计、集成电路设计、服装设计、时尚设计、工艺美术设计、建筑设计、工程设计、规划设计、平面设计、动漫设计、展示设计及其他新兴设计为主营业务，且成立2年以上。</w:t>
      </w:r>
    </w:p>
    <w:p>
      <w:p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（二）有较好的开展设计活动的研究实验条件和基础设施，具备独立承担设计任务、提供设计服务以及系统设计咨询服务的能力。</w:t>
      </w:r>
    </w:p>
    <w:p>
      <w:pPr>
        <w:ind w:firstLine="640" w:firstLineChars="200"/>
        <w:rPr>
          <w:rFonts w:hint="eastAsia" w:ascii="仿宋_GB2312" w:hAnsi="仿宋_GB2312" w:eastAsia="仿宋_GB2312" w:cs="仿宋_GB2312"/>
          <w:color w:val="auto"/>
          <w:sz w:val="32"/>
          <w:szCs w:val="32"/>
        </w:rPr>
      </w:pPr>
      <w:r>
        <w:rPr>
          <w:rFonts w:hint="eastAsia" w:ascii="仿宋_GB2312" w:hAnsi="仿宋" w:eastAsia="仿宋_GB2312"/>
          <w:color w:val="auto"/>
          <w:sz w:val="32"/>
          <w:szCs w:val="32"/>
        </w:rPr>
        <w:t>（三）设计服务水平在行业内处于领先地位，拥有一定规模、结构</w:t>
      </w:r>
      <w:r>
        <w:rPr>
          <w:rFonts w:hint="eastAsia" w:ascii="仿宋_GB2312" w:hAnsi="仿宋_GB2312" w:eastAsia="仿宋_GB2312" w:cs="仿宋_GB2312"/>
          <w:color w:val="auto"/>
          <w:sz w:val="32"/>
          <w:szCs w:val="32"/>
        </w:rPr>
        <w:t>合理、经验丰富的设计队伍，设计人员占职工总人数的比重不低于50%。以工业设计、集成电路设计、服装设计、时尚设计、工艺美术设计、平面设计、动漫设计、展示设计及其他新兴设计为主营业务的独立法人单位，近2年每年设计服务收入不低于</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 xml:space="preserve">00万元；以建筑设计、工程设计、规划设计为主营业务的法人单位，近2年每年设计服务收入不低于2000万元。对于设计特色突出，具有较高品牌影响力与竞争优势的高成长单位，可适当放宽服务收入指标。 </w:t>
      </w:r>
    </w:p>
    <w:p>
      <w:pPr>
        <w:ind w:firstLine="643" w:firstLineChars="200"/>
        <w:rPr>
          <w:rFonts w:hint="eastAsia" w:ascii="仿宋_GB2312" w:hAnsi="仿宋_GB2312" w:eastAsia="仿宋_GB2312" w:cs="仿宋_GB2312"/>
          <w:color w:val="auto"/>
          <w:sz w:val="32"/>
          <w:szCs w:val="32"/>
        </w:rPr>
      </w:pPr>
      <w:r>
        <w:rPr>
          <w:rFonts w:hint="eastAsia" w:ascii="仿宋_GB2312" w:hAnsi="仿宋" w:eastAsia="仿宋_GB2312"/>
          <w:b/>
          <w:color w:val="auto"/>
          <w:sz w:val="32"/>
          <w:szCs w:val="32"/>
        </w:rPr>
        <w:t>第八条</w:t>
      </w:r>
      <w:r>
        <w:rPr>
          <w:rFonts w:hint="eastAsia" w:ascii="仿宋_GB2312" w:hAnsi="仿宋" w:eastAsia="仿宋_GB2312"/>
          <w:color w:val="auto"/>
          <w:sz w:val="32"/>
          <w:szCs w:val="32"/>
        </w:rPr>
        <w:t xml:space="preserve">  拥有设计创新部门（机构）的法人单位申请认定应具备以下条</w:t>
      </w:r>
      <w:r>
        <w:rPr>
          <w:rFonts w:hint="eastAsia" w:ascii="仿宋_GB2312" w:hAnsi="仿宋_GB2312" w:eastAsia="仿宋_GB2312" w:cs="仿宋_GB2312"/>
          <w:color w:val="auto"/>
          <w:sz w:val="32"/>
          <w:szCs w:val="32"/>
        </w:rPr>
        <w:t>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（一）法人单位成立2年以上，已设立独立的设计创新部门（机构），有固定的工作场所、较好的设计创新条件和基础设施，拥有一定规模、结构合理、经验丰富的设计队伍，</w:t>
      </w:r>
      <w:r>
        <w:rPr>
          <w:rFonts w:hint="eastAsia" w:ascii="仿宋_GB2312" w:hAnsi="仿宋" w:eastAsia="仿宋_GB2312"/>
          <w:color w:val="auto"/>
          <w:sz w:val="32"/>
          <w:szCs w:val="32"/>
        </w:rPr>
        <w:t>具备承担设计任务、提供设计服务以及系统设计咨询服务的能力。</w:t>
      </w:r>
    </w:p>
    <w:p>
      <w:pPr>
        <w:ind w:firstLine="640" w:firstLineChars="200"/>
        <w:rPr>
          <w:rFonts w:hint="eastAsia" w:ascii="仿宋_GB2312" w:hAnsi="仿宋" w:eastAsia="仿宋_GB2312"/>
          <w:color w:val="auto"/>
          <w:sz w:val="32"/>
          <w:szCs w:val="32"/>
        </w:rPr>
      </w:pPr>
      <w:r>
        <w:rPr>
          <w:rFonts w:hint="eastAsia" w:ascii="仿宋_GB2312" w:hAnsi="仿宋_GB2312" w:eastAsia="仿宋_GB2312" w:cs="仿宋_GB2312"/>
          <w:color w:val="auto"/>
          <w:sz w:val="32"/>
          <w:szCs w:val="32"/>
        </w:rPr>
        <w:t>（二）重视设计创新工作，有筹措资金的能力和信誉，每年能为设计创新部门（机构）提供固定的</w:t>
      </w:r>
      <w:r>
        <w:rPr>
          <w:rFonts w:hint="eastAsia" w:ascii="仿宋_GB2312" w:hAnsi="仿宋" w:eastAsia="仿宋_GB2312"/>
          <w:color w:val="auto"/>
          <w:sz w:val="32"/>
          <w:szCs w:val="32"/>
        </w:rPr>
        <w:t>经费支持、技术支撑及后勤保障。</w:t>
      </w:r>
    </w:p>
    <w:p>
      <w:pPr>
        <w:ind w:firstLine="640" w:firstLineChars="200"/>
        <w:rPr>
          <w:rFonts w:hint="eastAsia" w:ascii="仿宋_GB2312" w:hAnsi="仿宋_GB2312" w:eastAsia="仿宋_GB2312" w:cs="仿宋_GB2312"/>
          <w:color w:val="auto"/>
          <w:sz w:val="32"/>
          <w:szCs w:val="32"/>
        </w:rPr>
      </w:pPr>
      <w:r>
        <w:rPr>
          <w:rFonts w:hint="eastAsia" w:ascii="仿宋_GB2312" w:hAnsi="仿宋" w:eastAsia="仿宋_GB2312"/>
          <w:color w:val="auto"/>
          <w:sz w:val="32"/>
          <w:szCs w:val="32"/>
        </w:rPr>
        <w:t>（三）拥有较强的设计创新能力，业绩突出，设计创新成果取得显著经济和社会效益，近2年获得国内外授权专利、版权等知识产权共计不低于10项。</w:t>
      </w:r>
      <w:r>
        <w:rPr>
          <w:rFonts w:hint="eastAsia" w:ascii="仿宋_GB2312" w:hAnsi="仿宋_GB2312" w:eastAsia="仿宋_GB2312" w:cs="仿宋_GB2312"/>
          <w:color w:val="auto"/>
          <w:sz w:val="32"/>
          <w:szCs w:val="32"/>
        </w:rPr>
        <w:t>对于获得发明专利、集成电路布图等专利较多的单位，可适当放宽数量指标。</w:t>
      </w:r>
    </w:p>
    <w:p>
      <w:pPr>
        <w:ind w:firstLine="643"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 xml:space="preserve">第九条  </w:t>
      </w:r>
      <w:r>
        <w:rPr>
          <w:rFonts w:hint="eastAsia" w:ascii="仿宋_GB2312" w:hAnsi="仿宋" w:eastAsia="仿宋_GB2312"/>
          <w:bCs/>
          <w:color w:val="auto"/>
          <w:sz w:val="32"/>
          <w:szCs w:val="32"/>
        </w:rPr>
        <w:t>2年内未发生重大质量或安全事故，</w:t>
      </w:r>
      <w:r>
        <w:rPr>
          <w:rFonts w:hint="eastAsia" w:ascii="仿宋_GB2312" w:hAnsi="仿宋" w:eastAsia="仿宋_GB2312"/>
          <w:color w:val="auto"/>
          <w:sz w:val="32"/>
          <w:szCs w:val="32"/>
        </w:rPr>
        <w:t>未存在偷税、漏税等税收违法行为，未存在被司法、行政机关认定的严重违法失信行为</w:t>
      </w:r>
      <w:r>
        <w:rPr>
          <w:rFonts w:hint="eastAsia" w:ascii="仿宋_GB2312" w:hAnsi="仿宋" w:eastAsia="仿宋_GB2312"/>
          <w:bCs/>
          <w:color w:val="auto"/>
          <w:sz w:val="32"/>
          <w:szCs w:val="32"/>
        </w:rPr>
        <w:t>或涉嫌违法正在接受有关部门审查的情况。</w:t>
      </w:r>
    </w:p>
    <w:p>
      <w:pPr>
        <w:jc w:val="center"/>
        <w:rPr>
          <w:rFonts w:hint="eastAsia" w:ascii="仿宋_GB2312" w:hAnsi="仿宋" w:eastAsia="仿宋_GB2312"/>
          <w:color w:val="auto"/>
          <w:sz w:val="32"/>
          <w:szCs w:val="32"/>
        </w:rPr>
      </w:pPr>
      <w:r>
        <w:rPr>
          <w:rFonts w:hint="eastAsia" w:ascii="黑体" w:hAnsi="黑体" w:eastAsia="黑体"/>
          <w:color w:val="auto"/>
          <w:sz w:val="32"/>
          <w:szCs w:val="32"/>
        </w:rPr>
        <w:t>第三章  认定</w:t>
      </w:r>
    </w:p>
    <w:p>
      <w:pPr>
        <w:ind w:firstLine="643"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第十条</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市科委、中关村管委会</w:t>
      </w:r>
      <w:r>
        <w:rPr>
          <w:rFonts w:hint="eastAsia" w:ascii="仿宋_GB2312" w:hAnsi="仿宋" w:eastAsia="仿宋_GB2312"/>
          <w:color w:val="auto"/>
          <w:sz w:val="32"/>
          <w:szCs w:val="32"/>
        </w:rPr>
        <w:t>按照择优认定的原则，依据本办法规定的程序认定北京市设计创新中心。认定程序如下：</w:t>
      </w:r>
    </w:p>
    <w:p>
      <w:p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（一）申报主体填写《北京市设计创新中心认定申请书》，向</w:t>
      </w:r>
      <w:r>
        <w:rPr>
          <w:rFonts w:hint="eastAsia" w:ascii="仿宋_GB2312" w:hAnsi="仿宋_GB2312" w:eastAsia="仿宋_GB2312" w:cs="仿宋_GB2312"/>
          <w:color w:val="auto"/>
          <w:sz w:val="32"/>
          <w:szCs w:val="32"/>
        </w:rPr>
        <w:t>市科委、中关村管委会</w:t>
      </w:r>
      <w:r>
        <w:rPr>
          <w:rFonts w:hint="eastAsia" w:ascii="仿宋_GB2312" w:hAnsi="仿宋" w:eastAsia="仿宋_GB2312"/>
          <w:color w:val="auto"/>
          <w:sz w:val="32"/>
          <w:szCs w:val="32"/>
        </w:rPr>
        <w:t>提交。</w:t>
      </w:r>
    </w:p>
    <w:p>
      <w:p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（二）</w:t>
      </w:r>
      <w:r>
        <w:rPr>
          <w:rFonts w:hint="eastAsia" w:ascii="仿宋_GB2312" w:hAnsi="仿宋_GB2312" w:eastAsia="仿宋_GB2312" w:cs="仿宋_GB2312"/>
          <w:color w:val="auto"/>
          <w:sz w:val="32"/>
          <w:szCs w:val="32"/>
        </w:rPr>
        <w:t>市科委、中关村管委会</w:t>
      </w:r>
      <w:r>
        <w:rPr>
          <w:rFonts w:hint="eastAsia" w:ascii="仿宋_GB2312" w:hAnsi="仿宋" w:eastAsia="仿宋_GB2312"/>
          <w:color w:val="auto"/>
          <w:sz w:val="32"/>
          <w:szCs w:val="32"/>
        </w:rPr>
        <w:t>组织相关专家对申报主体与材料进行考核评审，并进行必要的现场审查，形成专家评审意见。</w:t>
      </w:r>
    </w:p>
    <w:p>
      <w:p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（三）市科委、中关村管委会根据评审意见，审核并确定北京市设计创新中心名单，在</w:t>
      </w:r>
      <w:r>
        <w:rPr>
          <w:rFonts w:hint="eastAsia" w:ascii="仿宋_GB2312" w:hAnsi="仿宋_GB2312" w:eastAsia="仿宋_GB2312" w:cs="仿宋_GB2312"/>
          <w:color w:val="auto"/>
          <w:sz w:val="32"/>
          <w:szCs w:val="32"/>
        </w:rPr>
        <w:t>市科委、中关村管委会</w:t>
      </w:r>
      <w:r>
        <w:rPr>
          <w:rFonts w:hint="eastAsia" w:ascii="仿宋_GB2312" w:hAnsi="仿宋" w:eastAsia="仿宋_GB2312"/>
          <w:color w:val="auto"/>
          <w:sz w:val="32"/>
          <w:szCs w:val="32"/>
        </w:rPr>
        <w:t>门户网站公示。</w:t>
      </w:r>
    </w:p>
    <w:p>
      <w:pPr>
        <w:ind w:firstLine="643" w:firstLineChars="200"/>
        <w:rPr>
          <w:rFonts w:ascii="仿宋_GB2312" w:hAnsi="仿宋" w:eastAsia="仿宋_GB2312"/>
          <w:color w:val="auto"/>
          <w:sz w:val="32"/>
          <w:szCs w:val="32"/>
        </w:rPr>
      </w:pPr>
      <w:r>
        <w:rPr>
          <w:rFonts w:hint="eastAsia" w:ascii="仿宋_GB2312" w:hAnsi="仿宋" w:eastAsia="仿宋_GB2312"/>
          <w:b/>
          <w:color w:val="auto"/>
          <w:sz w:val="32"/>
          <w:szCs w:val="32"/>
        </w:rPr>
        <w:t>第十一条</w:t>
      </w:r>
      <w:r>
        <w:rPr>
          <w:rFonts w:hint="eastAsia" w:ascii="仿宋_GB2312" w:hAnsi="仿宋" w:eastAsia="仿宋_GB2312"/>
          <w:color w:val="auto"/>
          <w:sz w:val="32"/>
          <w:szCs w:val="32"/>
        </w:rPr>
        <w:t xml:space="preserve">  公示无异议的申报主体，由</w:t>
      </w:r>
      <w:r>
        <w:rPr>
          <w:rFonts w:hint="eastAsia" w:ascii="仿宋_GB2312" w:hAnsi="仿宋_GB2312" w:eastAsia="仿宋_GB2312" w:cs="仿宋_GB2312"/>
          <w:color w:val="auto"/>
          <w:sz w:val="32"/>
          <w:szCs w:val="32"/>
        </w:rPr>
        <w:t>市科委、中关村管委会</w:t>
      </w:r>
      <w:r>
        <w:rPr>
          <w:rFonts w:hint="eastAsia" w:ascii="仿宋_GB2312" w:hAnsi="仿宋" w:eastAsia="仿宋_GB2312"/>
          <w:color w:val="auto"/>
          <w:sz w:val="32"/>
          <w:szCs w:val="32"/>
        </w:rPr>
        <w:t>认定后，统一命名为“北京市设计创新中心”，有效期3年，发放证书与牌匾。</w:t>
      </w:r>
    </w:p>
    <w:p>
      <w:pPr>
        <w:ind w:firstLine="643" w:firstLineChars="200"/>
        <w:rPr>
          <w:rFonts w:hint="eastAsia" w:ascii="仿宋_GB2312" w:hAnsi="仿宋" w:eastAsia="仿宋_GB2312"/>
          <w:b/>
          <w:color w:val="auto"/>
          <w:sz w:val="32"/>
          <w:szCs w:val="32"/>
        </w:rPr>
      </w:pPr>
      <w:r>
        <w:rPr>
          <w:rFonts w:hint="eastAsia" w:ascii="仿宋_GB2312" w:eastAsia="仿宋_GB2312"/>
          <w:b/>
          <w:bCs/>
          <w:color w:val="auto"/>
          <w:sz w:val="32"/>
          <w:szCs w:val="32"/>
        </w:rPr>
        <w:t>第十二条</w:t>
      </w:r>
      <w:r>
        <w:rPr>
          <w:rFonts w:hint="eastAsia" w:ascii="仿宋_GB2312" w:eastAsia="仿宋_GB2312"/>
          <w:color w:val="auto"/>
          <w:sz w:val="32"/>
          <w:szCs w:val="32"/>
        </w:rPr>
        <w:t xml:space="preserve"> 自本办法公布实施日起，每3年由</w:t>
      </w:r>
      <w:r>
        <w:rPr>
          <w:rFonts w:hint="eastAsia" w:ascii="仿宋_GB2312" w:hAnsi="仿宋_GB2312" w:eastAsia="仿宋_GB2312" w:cs="仿宋_GB2312"/>
          <w:color w:val="auto"/>
          <w:sz w:val="32"/>
          <w:szCs w:val="32"/>
        </w:rPr>
        <w:t>市科委、中关村管委会</w:t>
      </w:r>
      <w:r>
        <w:rPr>
          <w:rFonts w:hint="eastAsia" w:ascii="仿宋_GB2312" w:eastAsia="仿宋_GB2312"/>
          <w:color w:val="auto"/>
          <w:sz w:val="32"/>
          <w:szCs w:val="32"/>
        </w:rPr>
        <w:t>组织认定一批北京市设计创新中心，认定北京市设计创新中心的申报通知由</w:t>
      </w:r>
      <w:r>
        <w:rPr>
          <w:rFonts w:hint="eastAsia" w:ascii="仿宋_GB2312" w:hAnsi="仿宋_GB2312" w:eastAsia="仿宋_GB2312" w:cs="仿宋_GB2312"/>
          <w:color w:val="auto"/>
          <w:sz w:val="32"/>
          <w:szCs w:val="32"/>
        </w:rPr>
        <w:t>市科委、中关村管委会</w:t>
      </w:r>
      <w:r>
        <w:rPr>
          <w:rFonts w:hint="eastAsia" w:ascii="仿宋_GB2312" w:eastAsia="仿宋_GB2312"/>
          <w:color w:val="auto"/>
          <w:sz w:val="32"/>
          <w:szCs w:val="32"/>
        </w:rPr>
        <w:t>在门户网站发布。</w:t>
      </w:r>
    </w:p>
    <w:p>
      <w:pPr>
        <w:ind w:firstLine="640" w:firstLineChars="200"/>
        <w:rPr>
          <w:rFonts w:hint="eastAsia" w:ascii="仿宋_GB2312" w:hAnsi="仿宋" w:eastAsia="仿宋_GB2312"/>
          <w:color w:val="auto"/>
          <w:sz w:val="32"/>
          <w:szCs w:val="32"/>
        </w:rPr>
      </w:pPr>
    </w:p>
    <w:p>
      <w:pPr>
        <w:jc w:val="center"/>
        <w:rPr>
          <w:rFonts w:hint="eastAsia" w:ascii="仿宋_GB2312" w:hAnsi="仿宋" w:eastAsia="仿宋_GB2312"/>
          <w:color w:val="auto"/>
          <w:sz w:val="32"/>
          <w:szCs w:val="32"/>
        </w:rPr>
      </w:pPr>
      <w:r>
        <w:rPr>
          <w:rFonts w:hint="eastAsia" w:ascii="黑体" w:hAnsi="黑体" w:eastAsia="黑体"/>
          <w:color w:val="auto"/>
          <w:sz w:val="32"/>
          <w:szCs w:val="32"/>
        </w:rPr>
        <w:t>第四章  管理</w:t>
      </w:r>
    </w:p>
    <w:p>
      <w:pPr>
        <w:ind w:firstLine="643"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第十三条</w:t>
      </w:r>
      <w:r>
        <w:rPr>
          <w:rFonts w:hint="eastAsia" w:ascii="仿宋_GB2312" w:hAnsi="仿宋" w:eastAsia="仿宋_GB2312"/>
          <w:color w:val="auto"/>
          <w:sz w:val="32"/>
          <w:szCs w:val="32"/>
        </w:rPr>
        <w:t xml:space="preserve">  北京市设计创新中心名单在</w:t>
      </w:r>
      <w:r>
        <w:rPr>
          <w:rFonts w:hint="eastAsia" w:ascii="仿宋_GB2312" w:hAnsi="仿宋_GB2312" w:eastAsia="仿宋_GB2312" w:cs="仿宋_GB2312"/>
          <w:color w:val="auto"/>
          <w:sz w:val="32"/>
          <w:szCs w:val="32"/>
        </w:rPr>
        <w:t>市科委、中关村管委会</w:t>
      </w:r>
      <w:r>
        <w:rPr>
          <w:rFonts w:hint="eastAsia" w:ascii="仿宋_GB2312" w:hAnsi="仿宋" w:eastAsia="仿宋_GB2312"/>
          <w:color w:val="auto"/>
          <w:sz w:val="32"/>
          <w:szCs w:val="32"/>
        </w:rPr>
        <w:t>门户网站及有关媒体公布，方便社会公众查询和监督。</w:t>
      </w:r>
    </w:p>
    <w:p>
      <w:pPr>
        <w:ind w:firstLine="643" w:firstLineChars="200"/>
        <w:rPr>
          <w:rFonts w:ascii="仿宋_GB2312" w:hAnsi="仿宋" w:eastAsia="仿宋_GB2312"/>
          <w:color w:val="auto"/>
          <w:sz w:val="32"/>
          <w:szCs w:val="32"/>
        </w:rPr>
      </w:pPr>
      <w:r>
        <w:rPr>
          <w:rFonts w:hint="eastAsia" w:ascii="仿宋_GB2312" w:hAnsi="仿宋" w:eastAsia="仿宋_GB2312"/>
          <w:b/>
          <w:color w:val="auto"/>
          <w:sz w:val="32"/>
          <w:szCs w:val="32"/>
        </w:rPr>
        <w:t>第十四条</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市科委、中关村管委会</w:t>
      </w:r>
      <w:r>
        <w:rPr>
          <w:rFonts w:hint="eastAsia" w:ascii="仿宋_GB2312" w:hAnsi="仿宋" w:eastAsia="仿宋_GB2312"/>
          <w:color w:val="auto"/>
          <w:sz w:val="32"/>
          <w:szCs w:val="32"/>
        </w:rPr>
        <w:t>对已认定的北京市设计创新中心实施动态管理，每3年组织一次复核。接受复核的北京市设计创新中心应当填写《北京市设计创新中心复核申请书》报</w:t>
      </w:r>
      <w:r>
        <w:rPr>
          <w:rFonts w:hint="eastAsia" w:ascii="仿宋_GB2312" w:hAnsi="仿宋_GB2312" w:eastAsia="仿宋_GB2312" w:cs="仿宋_GB2312"/>
          <w:color w:val="auto"/>
          <w:sz w:val="32"/>
          <w:szCs w:val="32"/>
        </w:rPr>
        <w:t>市科委、中关村管委会</w:t>
      </w:r>
      <w:r>
        <w:rPr>
          <w:rFonts w:hint="eastAsia" w:ascii="仿宋_GB2312" w:hAnsi="仿宋" w:eastAsia="仿宋_GB2312"/>
          <w:color w:val="auto"/>
          <w:sz w:val="32"/>
          <w:szCs w:val="32"/>
        </w:rPr>
        <w:t>。经市科委、中关村管委会组织复核，结果以公告形式发布。复核为“合格”及以上的，换发证书及牌匾。</w:t>
      </w:r>
      <w:r>
        <w:rPr>
          <w:rFonts w:hint="eastAsia" w:ascii="仿宋_GB2312" w:eastAsia="仿宋_GB2312"/>
          <w:color w:val="auto"/>
          <w:sz w:val="32"/>
          <w:szCs w:val="32"/>
        </w:rPr>
        <w:t>复核北京市设计创新中心的通知由</w:t>
      </w:r>
      <w:r>
        <w:rPr>
          <w:rFonts w:hint="eastAsia" w:ascii="仿宋_GB2312" w:hAnsi="仿宋_GB2312" w:eastAsia="仿宋_GB2312" w:cs="仿宋_GB2312"/>
          <w:color w:val="auto"/>
          <w:sz w:val="32"/>
          <w:szCs w:val="32"/>
        </w:rPr>
        <w:t>市科委、中关村管委会</w:t>
      </w:r>
      <w:r>
        <w:rPr>
          <w:rFonts w:hint="eastAsia" w:ascii="仿宋_GB2312" w:eastAsia="仿宋_GB2312"/>
          <w:color w:val="auto"/>
          <w:sz w:val="32"/>
          <w:szCs w:val="32"/>
        </w:rPr>
        <w:t>在门户网站发布。</w:t>
      </w:r>
    </w:p>
    <w:p>
      <w:pPr>
        <w:ind w:firstLine="643"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第十五条</w:t>
      </w:r>
      <w:r>
        <w:rPr>
          <w:rFonts w:hint="eastAsia" w:ascii="仿宋_GB2312" w:hAnsi="仿宋" w:eastAsia="仿宋_GB2312"/>
          <w:color w:val="auto"/>
          <w:sz w:val="32"/>
          <w:szCs w:val="32"/>
        </w:rPr>
        <w:t xml:space="preserve">  有下列情况之一的，予以撤销北京市设计创新中心：</w:t>
      </w:r>
    </w:p>
    <w:p>
      <w:p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（一）未按规定参加复核的；</w:t>
      </w:r>
    </w:p>
    <w:p>
      <w:p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（二）复核结果为不合格的；</w:t>
      </w:r>
    </w:p>
    <w:p>
      <w:p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（三）所在单位自行要求撤销的；</w:t>
      </w:r>
    </w:p>
    <w:p>
      <w:p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（四）所在单位被依法终止的；</w:t>
      </w:r>
    </w:p>
    <w:p>
      <w:p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（五）弄虚作假、违反相关规定或有违法行为的；</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（六）其他</w:t>
      </w:r>
      <w:r>
        <w:rPr>
          <w:rFonts w:hint="eastAsia" w:ascii="仿宋_GB2312" w:hAnsi="仿宋_GB2312" w:eastAsia="仿宋_GB2312" w:cs="仿宋_GB2312"/>
          <w:color w:val="auto"/>
          <w:sz w:val="32"/>
          <w:szCs w:val="32"/>
        </w:rPr>
        <w:t>市科委、中关村管委会</w:t>
      </w:r>
      <w:r>
        <w:rPr>
          <w:rFonts w:hint="eastAsia" w:ascii="仿宋_GB2312" w:hAnsi="仿宋" w:eastAsia="仿宋_GB2312"/>
          <w:color w:val="auto"/>
          <w:sz w:val="32"/>
          <w:szCs w:val="32"/>
        </w:rPr>
        <w:t>认为应该撤销的情形。</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由于上述原因被撤销北京市设计创新中心资格的单位在3年内不得重新申请认定。</w:t>
      </w:r>
    </w:p>
    <w:p>
      <w:pPr>
        <w:ind w:firstLine="643" w:firstLineChars="200"/>
        <w:rPr>
          <w:rFonts w:ascii="仿宋_GB2312" w:hAnsi="仿宋" w:eastAsia="仿宋_GB2312"/>
          <w:b/>
          <w:color w:val="auto"/>
          <w:sz w:val="32"/>
          <w:szCs w:val="32"/>
        </w:rPr>
      </w:pPr>
      <w:r>
        <w:rPr>
          <w:rFonts w:hint="eastAsia" w:ascii="仿宋_GB2312" w:hAnsi="仿宋" w:eastAsia="仿宋_GB2312"/>
          <w:b/>
          <w:color w:val="auto"/>
          <w:sz w:val="32"/>
          <w:szCs w:val="32"/>
        </w:rPr>
        <w:t>第十六条</w:t>
      </w:r>
      <w:r>
        <w:rPr>
          <w:rFonts w:hint="eastAsia" w:ascii="仿宋_GB2312" w:hAnsi="仿宋" w:eastAsia="仿宋_GB2312"/>
          <w:color w:val="auto"/>
          <w:sz w:val="32"/>
          <w:szCs w:val="32"/>
        </w:rPr>
        <w:t xml:space="preserve">  北京市</w:t>
      </w:r>
      <w:r>
        <w:rPr>
          <w:rFonts w:hint="eastAsia" w:ascii="仿宋_GB2312" w:hAnsi="仿宋_GB2312" w:eastAsia="仿宋_GB2312" w:cs="仿宋_GB2312"/>
          <w:color w:val="auto"/>
          <w:sz w:val="32"/>
          <w:szCs w:val="32"/>
        </w:rPr>
        <w:t>设计创新中心所在的法人单位发生变更、重组、业务方向调整等，应在发生之日起30个工作日内将有关调整情况报市科委、中关村管委会备案。</w:t>
      </w:r>
    </w:p>
    <w:p>
      <w:pPr>
        <w:ind w:firstLine="643"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第十七条</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市科委、中关村管委会</w:t>
      </w:r>
      <w:r>
        <w:rPr>
          <w:rFonts w:hint="eastAsia" w:ascii="仿宋_GB2312" w:hAnsi="仿宋" w:eastAsia="仿宋_GB2312"/>
          <w:color w:val="auto"/>
          <w:sz w:val="32"/>
          <w:szCs w:val="32"/>
        </w:rPr>
        <w:t>通过相关政策手段，支持北京市设计创新中心的建设和发展。</w:t>
      </w:r>
    </w:p>
    <w:p>
      <w:pPr>
        <w:ind w:firstLine="643"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第十八条</w:t>
      </w:r>
      <w:r>
        <w:rPr>
          <w:rFonts w:hint="eastAsia" w:ascii="仿宋_GB2312" w:hAnsi="仿宋" w:eastAsia="仿宋_GB2312"/>
          <w:color w:val="auto"/>
          <w:sz w:val="32"/>
          <w:szCs w:val="32"/>
        </w:rPr>
        <w:t xml:space="preserve">  鼓励各区结合自身实际，制定相关配套政策，各科技、园区主管部门对北京市设计创新中心建设给予支持和指导，提高创新中心宣传力度。</w:t>
      </w:r>
    </w:p>
    <w:p>
      <w:pPr>
        <w:jc w:val="center"/>
        <w:rPr>
          <w:rFonts w:hint="eastAsia" w:ascii="仿宋_GB2312" w:hAnsi="仿宋" w:eastAsia="仿宋_GB2312"/>
          <w:color w:val="auto"/>
          <w:sz w:val="32"/>
          <w:szCs w:val="32"/>
        </w:rPr>
      </w:pPr>
      <w:r>
        <w:rPr>
          <w:rFonts w:hint="eastAsia" w:ascii="黑体" w:hAnsi="黑体" w:eastAsia="黑体"/>
          <w:color w:val="auto"/>
          <w:sz w:val="32"/>
          <w:szCs w:val="32"/>
        </w:rPr>
        <w:t>第五章  附则</w:t>
      </w:r>
    </w:p>
    <w:p>
      <w:pPr>
        <w:ind w:firstLine="643" w:firstLineChars="200"/>
        <w:rPr>
          <w:rFonts w:hint="eastAsia" w:ascii="仿宋_GB2312" w:hAnsi="仿宋_GB2312" w:eastAsia="仿宋_GB2312" w:cs="仿宋_GB2312"/>
          <w:color w:val="auto"/>
          <w:sz w:val="32"/>
          <w:szCs w:val="32"/>
        </w:rPr>
      </w:pPr>
      <w:r>
        <w:rPr>
          <w:rFonts w:hint="eastAsia" w:ascii="仿宋_GB2312" w:hAnsi="仿宋" w:eastAsia="仿宋_GB2312"/>
          <w:b/>
          <w:color w:val="auto"/>
          <w:sz w:val="32"/>
          <w:szCs w:val="32"/>
        </w:rPr>
        <w:t>第十九条</w:t>
      </w:r>
      <w:r>
        <w:rPr>
          <w:rFonts w:hint="eastAsia" w:ascii="仿宋_GB2312" w:hAnsi="仿宋" w:eastAsia="仿宋_GB2312"/>
          <w:color w:val="auto"/>
          <w:sz w:val="32"/>
          <w:szCs w:val="32"/>
        </w:rPr>
        <w:t xml:space="preserve">  本办</w:t>
      </w:r>
      <w:r>
        <w:rPr>
          <w:rFonts w:hint="eastAsia" w:ascii="仿宋_GB2312" w:hAnsi="仿宋_GB2312" w:eastAsia="仿宋_GB2312" w:cs="仿宋_GB2312"/>
          <w:color w:val="auto"/>
          <w:sz w:val="32"/>
          <w:szCs w:val="32"/>
        </w:rPr>
        <w:t>法自公布之日起实施。《北京市设计创新中心认定管理办法（试行）》（京科发〔2013〕177号）同时废止。</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w:t>
      </w:r>
      <w:r>
        <w:rPr>
          <w:rFonts w:hint="eastAsia" w:ascii="仿宋_GB2312" w:hAnsi="仿宋_GB2312" w:eastAsia="仿宋_GB2312" w:cs="仿宋_GB2312"/>
          <w:color w:val="auto"/>
          <w:sz w:val="32"/>
          <w:szCs w:val="32"/>
        </w:rPr>
        <w:t xml:space="preserve">  本办法由市科委、中关村管委会负责解释。</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7</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DF"/>
    <w:rsid w:val="00001517"/>
    <w:rsid w:val="00006746"/>
    <w:rsid w:val="00011AE8"/>
    <w:rsid w:val="000151F1"/>
    <w:rsid w:val="0001564E"/>
    <w:rsid w:val="000173D0"/>
    <w:rsid w:val="000245F9"/>
    <w:rsid w:val="00031C3C"/>
    <w:rsid w:val="0003363C"/>
    <w:rsid w:val="00043498"/>
    <w:rsid w:val="00047EA7"/>
    <w:rsid w:val="00050AC1"/>
    <w:rsid w:val="00051579"/>
    <w:rsid w:val="00052A39"/>
    <w:rsid w:val="0005629A"/>
    <w:rsid w:val="00060B7B"/>
    <w:rsid w:val="00061603"/>
    <w:rsid w:val="000617D1"/>
    <w:rsid w:val="000674D2"/>
    <w:rsid w:val="00071596"/>
    <w:rsid w:val="0007316F"/>
    <w:rsid w:val="00073F56"/>
    <w:rsid w:val="00081993"/>
    <w:rsid w:val="00083527"/>
    <w:rsid w:val="000904CC"/>
    <w:rsid w:val="0009544A"/>
    <w:rsid w:val="000A24CC"/>
    <w:rsid w:val="000A606F"/>
    <w:rsid w:val="000B0061"/>
    <w:rsid w:val="000B3C4C"/>
    <w:rsid w:val="000C2053"/>
    <w:rsid w:val="000C7416"/>
    <w:rsid w:val="000C7463"/>
    <w:rsid w:val="000E2246"/>
    <w:rsid w:val="000E2D9A"/>
    <w:rsid w:val="000E4A7A"/>
    <w:rsid w:val="000E4E32"/>
    <w:rsid w:val="000F12D4"/>
    <w:rsid w:val="000F19F2"/>
    <w:rsid w:val="00114968"/>
    <w:rsid w:val="00116CA4"/>
    <w:rsid w:val="0012488F"/>
    <w:rsid w:val="00126B5A"/>
    <w:rsid w:val="001319F5"/>
    <w:rsid w:val="001359A3"/>
    <w:rsid w:val="00135F01"/>
    <w:rsid w:val="00140F38"/>
    <w:rsid w:val="00152754"/>
    <w:rsid w:val="0016438A"/>
    <w:rsid w:val="00170248"/>
    <w:rsid w:val="0018499E"/>
    <w:rsid w:val="00185131"/>
    <w:rsid w:val="00190343"/>
    <w:rsid w:val="00192E7C"/>
    <w:rsid w:val="0019449D"/>
    <w:rsid w:val="00194A41"/>
    <w:rsid w:val="001A06F9"/>
    <w:rsid w:val="001A7E88"/>
    <w:rsid w:val="001B33AE"/>
    <w:rsid w:val="001B6508"/>
    <w:rsid w:val="001B7C32"/>
    <w:rsid w:val="001B7D16"/>
    <w:rsid w:val="001C150C"/>
    <w:rsid w:val="001C7C49"/>
    <w:rsid w:val="001D2252"/>
    <w:rsid w:val="001D64B2"/>
    <w:rsid w:val="001E5AEF"/>
    <w:rsid w:val="001F5271"/>
    <w:rsid w:val="00203D31"/>
    <w:rsid w:val="002062A9"/>
    <w:rsid w:val="00211CEE"/>
    <w:rsid w:val="002154FE"/>
    <w:rsid w:val="00217908"/>
    <w:rsid w:val="00220378"/>
    <w:rsid w:val="00220AE4"/>
    <w:rsid w:val="002309B0"/>
    <w:rsid w:val="00235707"/>
    <w:rsid w:val="00236473"/>
    <w:rsid w:val="00247A00"/>
    <w:rsid w:val="0025760D"/>
    <w:rsid w:val="00262A46"/>
    <w:rsid w:val="00273697"/>
    <w:rsid w:val="0027532E"/>
    <w:rsid w:val="00282E3A"/>
    <w:rsid w:val="00290B97"/>
    <w:rsid w:val="002A16F1"/>
    <w:rsid w:val="002A766B"/>
    <w:rsid w:val="002B1AFD"/>
    <w:rsid w:val="002B4F90"/>
    <w:rsid w:val="002B63BD"/>
    <w:rsid w:val="002C09AD"/>
    <w:rsid w:val="002D0033"/>
    <w:rsid w:val="002D3C73"/>
    <w:rsid w:val="002D4C6A"/>
    <w:rsid w:val="002E0533"/>
    <w:rsid w:val="002E0EA6"/>
    <w:rsid w:val="002E48C1"/>
    <w:rsid w:val="002E5E8F"/>
    <w:rsid w:val="002E75DE"/>
    <w:rsid w:val="002F4F46"/>
    <w:rsid w:val="002F6FBD"/>
    <w:rsid w:val="003012B8"/>
    <w:rsid w:val="00305FFB"/>
    <w:rsid w:val="00312A2B"/>
    <w:rsid w:val="00313FC4"/>
    <w:rsid w:val="00315E6D"/>
    <w:rsid w:val="003205B6"/>
    <w:rsid w:val="00332AF0"/>
    <w:rsid w:val="0033733A"/>
    <w:rsid w:val="00340461"/>
    <w:rsid w:val="00345997"/>
    <w:rsid w:val="00347A79"/>
    <w:rsid w:val="00351C5A"/>
    <w:rsid w:val="00351FB0"/>
    <w:rsid w:val="0037360B"/>
    <w:rsid w:val="00374A71"/>
    <w:rsid w:val="00374DC3"/>
    <w:rsid w:val="00374EEC"/>
    <w:rsid w:val="00382BA7"/>
    <w:rsid w:val="00393AD1"/>
    <w:rsid w:val="00396A6E"/>
    <w:rsid w:val="003A7935"/>
    <w:rsid w:val="003C291B"/>
    <w:rsid w:val="003C2E47"/>
    <w:rsid w:val="003C53EE"/>
    <w:rsid w:val="003C5C94"/>
    <w:rsid w:val="003C70E4"/>
    <w:rsid w:val="003D5D44"/>
    <w:rsid w:val="003E5B15"/>
    <w:rsid w:val="003F2370"/>
    <w:rsid w:val="003F53BC"/>
    <w:rsid w:val="004026FE"/>
    <w:rsid w:val="0040387F"/>
    <w:rsid w:val="00407880"/>
    <w:rsid w:val="00423437"/>
    <w:rsid w:val="004257EA"/>
    <w:rsid w:val="004326A3"/>
    <w:rsid w:val="00434CF1"/>
    <w:rsid w:val="004358EF"/>
    <w:rsid w:val="00442FA9"/>
    <w:rsid w:val="00444C71"/>
    <w:rsid w:val="00450E71"/>
    <w:rsid w:val="004601D5"/>
    <w:rsid w:val="0046419E"/>
    <w:rsid w:val="004649C2"/>
    <w:rsid w:val="00464B9E"/>
    <w:rsid w:val="004709C5"/>
    <w:rsid w:val="00473CE0"/>
    <w:rsid w:val="004754A3"/>
    <w:rsid w:val="004761F9"/>
    <w:rsid w:val="00481338"/>
    <w:rsid w:val="00490BD5"/>
    <w:rsid w:val="004A1A66"/>
    <w:rsid w:val="004A20F2"/>
    <w:rsid w:val="004A5EF3"/>
    <w:rsid w:val="004A7A26"/>
    <w:rsid w:val="004B12A5"/>
    <w:rsid w:val="004B1D2C"/>
    <w:rsid w:val="004B2F3E"/>
    <w:rsid w:val="004B431A"/>
    <w:rsid w:val="004C1256"/>
    <w:rsid w:val="004C5244"/>
    <w:rsid w:val="004D0B87"/>
    <w:rsid w:val="004D68D4"/>
    <w:rsid w:val="004D7AB3"/>
    <w:rsid w:val="004E063A"/>
    <w:rsid w:val="004E4CA1"/>
    <w:rsid w:val="004E50C5"/>
    <w:rsid w:val="004E6102"/>
    <w:rsid w:val="004E75FE"/>
    <w:rsid w:val="00520401"/>
    <w:rsid w:val="00521582"/>
    <w:rsid w:val="00524130"/>
    <w:rsid w:val="00525BE9"/>
    <w:rsid w:val="0052687C"/>
    <w:rsid w:val="00527C18"/>
    <w:rsid w:val="00532B91"/>
    <w:rsid w:val="005423DC"/>
    <w:rsid w:val="00543990"/>
    <w:rsid w:val="005468DA"/>
    <w:rsid w:val="005474E7"/>
    <w:rsid w:val="00556153"/>
    <w:rsid w:val="005563AC"/>
    <w:rsid w:val="00562D25"/>
    <w:rsid w:val="00570A0F"/>
    <w:rsid w:val="00570E12"/>
    <w:rsid w:val="00572AEC"/>
    <w:rsid w:val="00574BBD"/>
    <w:rsid w:val="0057669E"/>
    <w:rsid w:val="005800F0"/>
    <w:rsid w:val="00591B16"/>
    <w:rsid w:val="005946FA"/>
    <w:rsid w:val="00595C25"/>
    <w:rsid w:val="00596A11"/>
    <w:rsid w:val="005A0C83"/>
    <w:rsid w:val="005A2473"/>
    <w:rsid w:val="005A3FBD"/>
    <w:rsid w:val="005B619E"/>
    <w:rsid w:val="005C2507"/>
    <w:rsid w:val="005E210A"/>
    <w:rsid w:val="005E3086"/>
    <w:rsid w:val="005E3631"/>
    <w:rsid w:val="005E720D"/>
    <w:rsid w:val="005F1305"/>
    <w:rsid w:val="005F1718"/>
    <w:rsid w:val="005F40DF"/>
    <w:rsid w:val="005F4DAB"/>
    <w:rsid w:val="005F4FFD"/>
    <w:rsid w:val="00600E53"/>
    <w:rsid w:val="00603514"/>
    <w:rsid w:val="00611BDD"/>
    <w:rsid w:val="006132E6"/>
    <w:rsid w:val="006176D2"/>
    <w:rsid w:val="00625954"/>
    <w:rsid w:val="00626753"/>
    <w:rsid w:val="006306F2"/>
    <w:rsid w:val="006329BD"/>
    <w:rsid w:val="00634E45"/>
    <w:rsid w:val="006359AB"/>
    <w:rsid w:val="00645C8E"/>
    <w:rsid w:val="0065419F"/>
    <w:rsid w:val="0065561F"/>
    <w:rsid w:val="0065588B"/>
    <w:rsid w:val="00660C69"/>
    <w:rsid w:val="00662B12"/>
    <w:rsid w:val="006649B7"/>
    <w:rsid w:val="00674996"/>
    <w:rsid w:val="00675C18"/>
    <w:rsid w:val="006802CD"/>
    <w:rsid w:val="006804E0"/>
    <w:rsid w:val="00681B87"/>
    <w:rsid w:val="00690393"/>
    <w:rsid w:val="006906B4"/>
    <w:rsid w:val="006907BD"/>
    <w:rsid w:val="00691F18"/>
    <w:rsid w:val="00693225"/>
    <w:rsid w:val="00695DD2"/>
    <w:rsid w:val="00697FC5"/>
    <w:rsid w:val="006B22FD"/>
    <w:rsid w:val="006B3C2B"/>
    <w:rsid w:val="006D19AE"/>
    <w:rsid w:val="006D4F81"/>
    <w:rsid w:val="006E3A0A"/>
    <w:rsid w:val="006E78A5"/>
    <w:rsid w:val="006E7F84"/>
    <w:rsid w:val="006F1308"/>
    <w:rsid w:val="006F427E"/>
    <w:rsid w:val="006F64D4"/>
    <w:rsid w:val="006F65B3"/>
    <w:rsid w:val="006F7A43"/>
    <w:rsid w:val="00700600"/>
    <w:rsid w:val="00710464"/>
    <w:rsid w:val="0073229B"/>
    <w:rsid w:val="007324CE"/>
    <w:rsid w:val="00746559"/>
    <w:rsid w:val="00750631"/>
    <w:rsid w:val="007520B1"/>
    <w:rsid w:val="00756BA8"/>
    <w:rsid w:val="00756BCC"/>
    <w:rsid w:val="0076047E"/>
    <w:rsid w:val="00760B2F"/>
    <w:rsid w:val="00763C61"/>
    <w:rsid w:val="0076696D"/>
    <w:rsid w:val="00790419"/>
    <w:rsid w:val="00791B19"/>
    <w:rsid w:val="00793207"/>
    <w:rsid w:val="007A332E"/>
    <w:rsid w:val="007A44F7"/>
    <w:rsid w:val="007A56F9"/>
    <w:rsid w:val="007B1281"/>
    <w:rsid w:val="007B346B"/>
    <w:rsid w:val="007B513D"/>
    <w:rsid w:val="007C1CFA"/>
    <w:rsid w:val="007C3D73"/>
    <w:rsid w:val="007D1541"/>
    <w:rsid w:val="007D1C84"/>
    <w:rsid w:val="007D5D5B"/>
    <w:rsid w:val="007E244C"/>
    <w:rsid w:val="007E4B9F"/>
    <w:rsid w:val="007E78F2"/>
    <w:rsid w:val="007F4760"/>
    <w:rsid w:val="007F4D05"/>
    <w:rsid w:val="007F6E86"/>
    <w:rsid w:val="008019FE"/>
    <w:rsid w:val="00803B71"/>
    <w:rsid w:val="00812AE3"/>
    <w:rsid w:val="00813719"/>
    <w:rsid w:val="00813C35"/>
    <w:rsid w:val="00815022"/>
    <w:rsid w:val="0081646F"/>
    <w:rsid w:val="008171AF"/>
    <w:rsid w:val="008219E6"/>
    <w:rsid w:val="00822279"/>
    <w:rsid w:val="0082266C"/>
    <w:rsid w:val="00824D6F"/>
    <w:rsid w:val="008250B3"/>
    <w:rsid w:val="00826D8C"/>
    <w:rsid w:val="00840DD8"/>
    <w:rsid w:val="00847706"/>
    <w:rsid w:val="0085138C"/>
    <w:rsid w:val="00860CB0"/>
    <w:rsid w:val="008822FD"/>
    <w:rsid w:val="00887F3D"/>
    <w:rsid w:val="0089418F"/>
    <w:rsid w:val="00895EA7"/>
    <w:rsid w:val="008B074E"/>
    <w:rsid w:val="008B1432"/>
    <w:rsid w:val="008C3E35"/>
    <w:rsid w:val="008C4073"/>
    <w:rsid w:val="008C6ACE"/>
    <w:rsid w:val="008C6F08"/>
    <w:rsid w:val="008E3722"/>
    <w:rsid w:val="008E67AC"/>
    <w:rsid w:val="00900428"/>
    <w:rsid w:val="00900765"/>
    <w:rsid w:val="00902B82"/>
    <w:rsid w:val="00904D6E"/>
    <w:rsid w:val="00905F6B"/>
    <w:rsid w:val="009110BB"/>
    <w:rsid w:val="00912102"/>
    <w:rsid w:val="00920172"/>
    <w:rsid w:val="00920583"/>
    <w:rsid w:val="009364F7"/>
    <w:rsid w:val="00942460"/>
    <w:rsid w:val="009460C1"/>
    <w:rsid w:val="00947C90"/>
    <w:rsid w:val="009509FD"/>
    <w:rsid w:val="00971699"/>
    <w:rsid w:val="009727E0"/>
    <w:rsid w:val="00984DCA"/>
    <w:rsid w:val="00986790"/>
    <w:rsid w:val="009905C3"/>
    <w:rsid w:val="00990EC7"/>
    <w:rsid w:val="009A2D6D"/>
    <w:rsid w:val="009A43E6"/>
    <w:rsid w:val="009A452A"/>
    <w:rsid w:val="009A7193"/>
    <w:rsid w:val="009B053E"/>
    <w:rsid w:val="009C1A46"/>
    <w:rsid w:val="009E053E"/>
    <w:rsid w:val="009E61B6"/>
    <w:rsid w:val="009F5435"/>
    <w:rsid w:val="009F6C4D"/>
    <w:rsid w:val="009F70C1"/>
    <w:rsid w:val="00A00F96"/>
    <w:rsid w:val="00A052CB"/>
    <w:rsid w:val="00A11848"/>
    <w:rsid w:val="00A17743"/>
    <w:rsid w:val="00A2080C"/>
    <w:rsid w:val="00A21F20"/>
    <w:rsid w:val="00A2459B"/>
    <w:rsid w:val="00A25339"/>
    <w:rsid w:val="00A27F35"/>
    <w:rsid w:val="00A3083C"/>
    <w:rsid w:val="00A31952"/>
    <w:rsid w:val="00A33591"/>
    <w:rsid w:val="00A35330"/>
    <w:rsid w:val="00A37A75"/>
    <w:rsid w:val="00A56FA9"/>
    <w:rsid w:val="00A62A01"/>
    <w:rsid w:val="00A661F4"/>
    <w:rsid w:val="00A822EE"/>
    <w:rsid w:val="00A87F02"/>
    <w:rsid w:val="00AA26E1"/>
    <w:rsid w:val="00AA3128"/>
    <w:rsid w:val="00AA4663"/>
    <w:rsid w:val="00AB4BDC"/>
    <w:rsid w:val="00AB4BED"/>
    <w:rsid w:val="00AB76BB"/>
    <w:rsid w:val="00AC5CDF"/>
    <w:rsid w:val="00AD15CD"/>
    <w:rsid w:val="00AD3398"/>
    <w:rsid w:val="00AE120C"/>
    <w:rsid w:val="00AE5D6C"/>
    <w:rsid w:val="00AF3A10"/>
    <w:rsid w:val="00AF4736"/>
    <w:rsid w:val="00AF794E"/>
    <w:rsid w:val="00B011E4"/>
    <w:rsid w:val="00B14ECD"/>
    <w:rsid w:val="00B15D08"/>
    <w:rsid w:val="00B230EC"/>
    <w:rsid w:val="00B33A79"/>
    <w:rsid w:val="00B3669F"/>
    <w:rsid w:val="00B4519B"/>
    <w:rsid w:val="00B51EBD"/>
    <w:rsid w:val="00B52CB8"/>
    <w:rsid w:val="00B64F85"/>
    <w:rsid w:val="00B71724"/>
    <w:rsid w:val="00B71EE1"/>
    <w:rsid w:val="00B76CDD"/>
    <w:rsid w:val="00B7767F"/>
    <w:rsid w:val="00B80051"/>
    <w:rsid w:val="00B80942"/>
    <w:rsid w:val="00B8126B"/>
    <w:rsid w:val="00B8734A"/>
    <w:rsid w:val="00B965F8"/>
    <w:rsid w:val="00BA3C44"/>
    <w:rsid w:val="00BA3C90"/>
    <w:rsid w:val="00BA3DC4"/>
    <w:rsid w:val="00BA5B9C"/>
    <w:rsid w:val="00BB0724"/>
    <w:rsid w:val="00BB661C"/>
    <w:rsid w:val="00BB6959"/>
    <w:rsid w:val="00BC2432"/>
    <w:rsid w:val="00BC3975"/>
    <w:rsid w:val="00BC3BD9"/>
    <w:rsid w:val="00BC6019"/>
    <w:rsid w:val="00BC6616"/>
    <w:rsid w:val="00BD702E"/>
    <w:rsid w:val="00BE19EB"/>
    <w:rsid w:val="00BE40A6"/>
    <w:rsid w:val="00BE593A"/>
    <w:rsid w:val="00C02521"/>
    <w:rsid w:val="00C04682"/>
    <w:rsid w:val="00C07F1F"/>
    <w:rsid w:val="00C10DB5"/>
    <w:rsid w:val="00C13B11"/>
    <w:rsid w:val="00C2713F"/>
    <w:rsid w:val="00C27E3C"/>
    <w:rsid w:val="00C31908"/>
    <w:rsid w:val="00C34953"/>
    <w:rsid w:val="00C36566"/>
    <w:rsid w:val="00C46184"/>
    <w:rsid w:val="00C54927"/>
    <w:rsid w:val="00C559D6"/>
    <w:rsid w:val="00C63E9A"/>
    <w:rsid w:val="00C67D58"/>
    <w:rsid w:val="00C730CB"/>
    <w:rsid w:val="00C738D5"/>
    <w:rsid w:val="00C75A99"/>
    <w:rsid w:val="00C75D63"/>
    <w:rsid w:val="00C9000F"/>
    <w:rsid w:val="00C91834"/>
    <w:rsid w:val="00CA7B14"/>
    <w:rsid w:val="00CB660A"/>
    <w:rsid w:val="00CD0042"/>
    <w:rsid w:val="00CD0B02"/>
    <w:rsid w:val="00CD4B73"/>
    <w:rsid w:val="00CE5028"/>
    <w:rsid w:val="00CF00B2"/>
    <w:rsid w:val="00CF14BC"/>
    <w:rsid w:val="00CF1E56"/>
    <w:rsid w:val="00D00E8F"/>
    <w:rsid w:val="00D07F45"/>
    <w:rsid w:val="00D1544A"/>
    <w:rsid w:val="00D16029"/>
    <w:rsid w:val="00D16440"/>
    <w:rsid w:val="00D21E67"/>
    <w:rsid w:val="00D26DBA"/>
    <w:rsid w:val="00D270E7"/>
    <w:rsid w:val="00D344CE"/>
    <w:rsid w:val="00D3490C"/>
    <w:rsid w:val="00D379AE"/>
    <w:rsid w:val="00D44850"/>
    <w:rsid w:val="00D46722"/>
    <w:rsid w:val="00D53AE4"/>
    <w:rsid w:val="00D546AD"/>
    <w:rsid w:val="00D54EF1"/>
    <w:rsid w:val="00D624E7"/>
    <w:rsid w:val="00D626E7"/>
    <w:rsid w:val="00D64C67"/>
    <w:rsid w:val="00D65C34"/>
    <w:rsid w:val="00D67770"/>
    <w:rsid w:val="00D7478D"/>
    <w:rsid w:val="00D80CB7"/>
    <w:rsid w:val="00D828D4"/>
    <w:rsid w:val="00D92F45"/>
    <w:rsid w:val="00D94CEE"/>
    <w:rsid w:val="00D9666D"/>
    <w:rsid w:val="00D96F43"/>
    <w:rsid w:val="00DA2019"/>
    <w:rsid w:val="00DB0ED4"/>
    <w:rsid w:val="00DC6A18"/>
    <w:rsid w:val="00DD18CA"/>
    <w:rsid w:val="00DD4AED"/>
    <w:rsid w:val="00DF00F1"/>
    <w:rsid w:val="00DF0A93"/>
    <w:rsid w:val="00DF2FF1"/>
    <w:rsid w:val="00DF2FF6"/>
    <w:rsid w:val="00DF6927"/>
    <w:rsid w:val="00DF70F8"/>
    <w:rsid w:val="00DF7117"/>
    <w:rsid w:val="00E0470A"/>
    <w:rsid w:val="00E048B4"/>
    <w:rsid w:val="00E07355"/>
    <w:rsid w:val="00E1487D"/>
    <w:rsid w:val="00E14938"/>
    <w:rsid w:val="00E2285E"/>
    <w:rsid w:val="00E27B9F"/>
    <w:rsid w:val="00E314EC"/>
    <w:rsid w:val="00E50032"/>
    <w:rsid w:val="00E542C7"/>
    <w:rsid w:val="00E557CA"/>
    <w:rsid w:val="00E55D55"/>
    <w:rsid w:val="00E5740A"/>
    <w:rsid w:val="00E65C2B"/>
    <w:rsid w:val="00E66CB9"/>
    <w:rsid w:val="00E750BD"/>
    <w:rsid w:val="00E8243D"/>
    <w:rsid w:val="00E87577"/>
    <w:rsid w:val="00E910D6"/>
    <w:rsid w:val="00E93533"/>
    <w:rsid w:val="00E971B4"/>
    <w:rsid w:val="00EA1786"/>
    <w:rsid w:val="00EA525A"/>
    <w:rsid w:val="00EB3E99"/>
    <w:rsid w:val="00EC18EF"/>
    <w:rsid w:val="00EC1F30"/>
    <w:rsid w:val="00ED25B9"/>
    <w:rsid w:val="00ED4298"/>
    <w:rsid w:val="00ED4C3D"/>
    <w:rsid w:val="00ED62CF"/>
    <w:rsid w:val="00EE4885"/>
    <w:rsid w:val="00EE4D2A"/>
    <w:rsid w:val="00EE6917"/>
    <w:rsid w:val="00F00AA4"/>
    <w:rsid w:val="00F06570"/>
    <w:rsid w:val="00F078AB"/>
    <w:rsid w:val="00F12E06"/>
    <w:rsid w:val="00F15D9A"/>
    <w:rsid w:val="00F1683C"/>
    <w:rsid w:val="00F300F3"/>
    <w:rsid w:val="00F36BE2"/>
    <w:rsid w:val="00F42FB7"/>
    <w:rsid w:val="00F6385C"/>
    <w:rsid w:val="00F63EBB"/>
    <w:rsid w:val="00F725E7"/>
    <w:rsid w:val="00F742ED"/>
    <w:rsid w:val="00F74486"/>
    <w:rsid w:val="00F769E7"/>
    <w:rsid w:val="00F8000E"/>
    <w:rsid w:val="00F83A28"/>
    <w:rsid w:val="00F85B5B"/>
    <w:rsid w:val="00F86B58"/>
    <w:rsid w:val="00FA5269"/>
    <w:rsid w:val="00FA593C"/>
    <w:rsid w:val="00FB14B8"/>
    <w:rsid w:val="00FB41FF"/>
    <w:rsid w:val="00FB4FF9"/>
    <w:rsid w:val="00FB5393"/>
    <w:rsid w:val="00FC055A"/>
    <w:rsid w:val="00FC189C"/>
    <w:rsid w:val="00FC1BA7"/>
    <w:rsid w:val="00FC2417"/>
    <w:rsid w:val="00FC6651"/>
    <w:rsid w:val="00FC66B9"/>
    <w:rsid w:val="00FD4545"/>
    <w:rsid w:val="00FD5993"/>
    <w:rsid w:val="00FD6034"/>
    <w:rsid w:val="00FE2713"/>
    <w:rsid w:val="00FE76A7"/>
    <w:rsid w:val="00FF0159"/>
    <w:rsid w:val="02A55004"/>
    <w:rsid w:val="05D4515C"/>
    <w:rsid w:val="072E40FD"/>
    <w:rsid w:val="08452A27"/>
    <w:rsid w:val="0DE2358F"/>
    <w:rsid w:val="0FF750DB"/>
    <w:rsid w:val="1366012C"/>
    <w:rsid w:val="167E3968"/>
    <w:rsid w:val="195C6B5F"/>
    <w:rsid w:val="1A677FF5"/>
    <w:rsid w:val="1C5E1C8D"/>
    <w:rsid w:val="1E361E51"/>
    <w:rsid w:val="1E6B1012"/>
    <w:rsid w:val="20F55A11"/>
    <w:rsid w:val="22A4783F"/>
    <w:rsid w:val="322A6FBA"/>
    <w:rsid w:val="355443E1"/>
    <w:rsid w:val="42554C17"/>
    <w:rsid w:val="437A4E23"/>
    <w:rsid w:val="44C86438"/>
    <w:rsid w:val="45F03B86"/>
    <w:rsid w:val="536D679D"/>
    <w:rsid w:val="5B4F4E06"/>
    <w:rsid w:val="5D24194F"/>
    <w:rsid w:val="62745AA7"/>
    <w:rsid w:val="64717527"/>
    <w:rsid w:val="6716692E"/>
    <w:rsid w:val="6FFDC635"/>
    <w:rsid w:val="70313990"/>
    <w:rsid w:val="74675E4C"/>
    <w:rsid w:val="75C349FA"/>
    <w:rsid w:val="7A2D7806"/>
    <w:rsid w:val="7BAFF40C"/>
    <w:rsid w:val="7CB742FD"/>
    <w:rsid w:val="7E7BD14C"/>
    <w:rsid w:val="7FDF14EB"/>
    <w:rsid w:val="BBAFDEA4"/>
    <w:rsid w:val="DEEEC825"/>
    <w:rsid w:val="DFFF961D"/>
    <w:rsid w:val="ECDFAFDD"/>
    <w:rsid w:val="ED8E1C8C"/>
    <w:rsid w:val="F4225345"/>
    <w:rsid w:val="F5DC54F2"/>
    <w:rsid w:val="FF7653EB"/>
    <w:rsid w:val="FFA79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rPr>
      <w:rFonts w:ascii="Calibri" w:hAnsi="Calibri"/>
      <w:kern w:val="2"/>
      <w:sz w:val="21"/>
      <w:szCs w:val="22"/>
    </w:rPr>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6"/>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annotation reference"/>
    <w:qFormat/>
    <w:uiPriority w:val="0"/>
    <w:rPr>
      <w:sz w:val="21"/>
      <w:szCs w:val="21"/>
    </w:rPr>
  </w:style>
  <w:style w:type="character" w:customStyle="1" w:styleId="13">
    <w:name w:val="批注文字 字符"/>
    <w:link w:val="2"/>
    <w:qFormat/>
    <w:uiPriority w:val="0"/>
    <w:rPr>
      <w:kern w:val="2"/>
      <w:sz w:val="21"/>
      <w:szCs w:val="24"/>
    </w:rPr>
  </w:style>
  <w:style w:type="character" w:customStyle="1" w:styleId="14">
    <w:name w:val="批注框文本 字符"/>
    <w:link w:val="3"/>
    <w:qFormat/>
    <w:uiPriority w:val="0"/>
    <w:rPr>
      <w:kern w:val="2"/>
      <w:sz w:val="18"/>
      <w:szCs w:val="18"/>
    </w:rPr>
  </w:style>
  <w:style w:type="character" w:customStyle="1" w:styleId="15">
    <w:name w:val="页眉 字符"/>
    <w:link w:val="5"/>
    <w:qFormat/>
    <w:uiPriority w:val="0"/>
    <w:rPr>
      <w:kern w:val="2"/>
      <w:sz w:val="18"/>
      <w:szCs w:val="18"/>
    </w:rPr>
  </w:style>
  <w:style w:type="character" w:customStyle="1" w:styleId="16">
    <w:name w:val="批注主题 字符"/>
    <w:link w:val="7"/>
    <w:qFormat/>
    <w:uiPriority w:val="0"/>
    <w:rPr>
      <w:b/>
      <w:bCs/>
      <w:kern w:val="2"/>
      <w:sz w:val="21"/>
      <w:szCs w:val="24"/>
    </w:rPr>
  </w:style>
  <w:style w:type="paragraph" w:customStyle="1" w:styleId="1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437</Words>
  <Characters>2496</Characters>
  <Lines>20</Lines>
  <Paragraphs>5</Paragraphs>
  <TotalTime>48</TotalTime>
  <ScaleCrop>false</ScaleCrop>
  <LinksUpToDate>false</LinksUpToDate>
  <CharactersWithSpaces>2928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2023-03-03T02:03:00Z</dcterms:created>
  <dc:creator>微软用户</dc:creator>
  <cp:lastModifiedBy>user</cp:lastModifiedBy>
  <cp:lastPrinted>2023-01-17T01:41:00Z</cp:lastPrinted>
  <dcterms:modified xsi:type="dcterms:W3CDTF">2023-03-02T16:15:46Z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7E9DEA8E5E3644488FE1BB15E3710620</vt:lpwstr>
  </property>
</Properties>
</file>