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djustRightInd w:val="0"/>
        <w:snapToGrid w:val="0"/>
        <w:spacing w:line="560" w:lineRule="exact"/>
        <w:ind w:firstLine="1"/>
        <w:jc w:val="center"/>
        <w:rPr>
          <w:rFonts w:ascii="方正小标宋_GBK" w:hAnsi="华文中宋" w:eastAsia="方正小标宋_GBK"/>
          <w:kern w:val="0"/>
          <w:sz w:val="44"/>
          <w:szCs w:val="44"/>
        </w:rPr>
      </w:pPr>
      <w:r>
        <w:rPr>
          <w:rFonts w:hint="eastAsia" w:ascii="方正小标宋_GBK" w:hAnsi="华文中宋" w:eastAsia="方正小标宋_GBK"/>
          <w:kern w:val="0"/>
          <w:sz w:val="44"/>
          <w:szCs w:val="44"/>
        </w:rPr>
        <w:t>中关村管委会2017年</w:t>
      </w:r>
      <w:bookmarkStart w:id="0" w:name="_GoBack"/>
      <w:bookmarkEnd w:id="0"/>
      <w:r>
        <w:rPr>
          <w:rFonts w:hint="eastAsia" w:ascii="方正小标宋_GBK" w:hAnsi="华文中宋" w:eastAsia="方正小标宋_GBK"/>
          <w:kern w:val="0"/>
          <w:sz w:val="44"/>
          <w:szCs w:val="44"/>
        </w:rPr>
        <w:t>政府信息公开工作</w:t>
      </w:r>
    </w:p>
    <w:p>
      <w:pPr>
        <w:widowControl/>
        <w:adjustRightInd w:val="0"/>
        <w:snapToGrid w:val="0"/>
        <w:spacing w:line="560" w:lineRule="exact"/>
        <w:jc w:val="center"/>
        <w:rPr>
          <w:rFonts w:ascii="方正小标宋_GBK" w:hAnsi="华文中宋" w:eastAsia="方正小标宋_GBK"/>
          <w:kern w:val="0"/>
          <w:sz w:val="44"/>
          <w:szCs w:val="44"/>
        </w:rPr>
      </w:pPr>
      <w:r>
        <w:rPr>
          <w:rFonts w:hint="eastAsia" w:ascii="方正小标宋_GBK" w:hAnsi="华文中宋" w:eastAsia="方正小标宋_GBK"/>
          <w:kern w:val="0"/>
          <w:sz w:val="44"/>
          <w:szCs w:val="44"/>
        </w:rPr>
        <w:t>年度报告</w:t>
      </w:r>
    </w:p>
    <w:p>
      <w:pPr>
        <w:widowControl/>
        <w:adjustRightInd w:val="0"/>
        <w:snapToGrid w:val="0"/>
        <w:spacing w:line="560" w:lineRule="exact"/>
        <w:jc w:val="center"/>
        <w:rPr>
          <w:rFonts w:ascii="方正小标宋_GBK" w:hAnsi="华文中宋" w:eastAsia="方正小标宋_GBK"/>
          <w:kern w:val="0"/>
          <w:sz w:val="44"/>
          <w:szCs w:val="44"/>
        </w:rPr>
      </w:pPr>
    </w:p>
    <w:p>
      <w:pPr>
        <w:spacing w:line="560" w:lineRule="exact"/>
        <w:jc w:val="center"/>
        <w:rPr>
          <w:rFonts w:ascii="黑体" w:hAnsi="Arial" w:eastAsia="黑体" w:cs="Arial"/>
          <w:sz w:val="32"/>
          <w:szCs w:val="32"/>
        </w:rPr>
      </w:pPr>
      <w:r>
        <w:rPr>
          <w:rFonts w:hint="eastAsia" w:ascii="黑体" w:hAnsi="Arial" w:eastAsia="黑体" w:cs="Arial"/>
          <w:bCs/>
          <w:sz w:val="32"/>
          <w:szCs w:val="32"/>
        </w:rPr>
        <w:t>引言</w:t>
      </w:r>
    </w:p>
    <w:p>
      <w:pPr>
        <w:spacing w:line="560" w:lineRule="exact"/>
        <w:ind w:firstLine="596" w:firstLineChars="200"/>
        <w:rPr>
          <w:rFonts w:ascii="仿宋_GB2312" w:hAnsi="Arial" w:eastAsia="仿宋_GB2312" w:cs="Arial"/>
          <w:sz w:val="32"/>
          <w:szCs w:val="32"/>
        </w:rPr>
      </w:pPr>
    </w:p>
    <w:p>
      <w:pPr>
        <w:spacing w:line="540" w:lineRule="exact"/>
        <w:ind w:firstLine="596" w:firstLineChars="200"/>
        <w:rPr>
          <w:rFonts w:ascii="仿宋_GB2312" w:hAnsi="Arial" w:eastAsia="仿宋_GB2312" w:cs="Arial"/>
          <w:sz w:val="32"/>
          <w:szCs w:val="32"/>
        </w:rPr>
      </w:pPr>
      <w:r>
        <w:rPr>
          <w:rFonts w:hint="eastAsia" w:ascii="仿宋_GB2312" w:hAnsi="Arial" w:eastAsia="仿宋_GB2312" w:cs="Arial"/>
          <w:sz w:val="32"/>
          <w:szCs w:val="32"/>
        </w:rPr>
        <w:t>本报告根据《中华人民共和国政府信息公开条例》和《北京市政府信息公开规定》要求，由中关村管委会编制的2017年度政府信息公开年度报告。</w:t>
      </w:r>
    </w:p>
    <w:p>
      <w:pPr>
        <w:spacing w:line="540" w:lineRule="exact"/>
        <w:ind w:firstLine="596" w:firstLineChars="200"/>
        <w:rPr>
          <w:rFonts w:ascii="仿宋_GB2312" w:hAnsi="Arial" w:eastAsia="仿宋_GB2312" w:cs="Arial"/>
          <w:sz w:val="32"/>
          <w:szCs w:val="32"/>
        </w:rPr>
      </w:pPr>
      <w:r>
        <w:rPr>
          <w:rFonts w:hint="eastAsia" w:ascii="仿宋_GB2312" w:hAnsi="Arial" w:eastAsia="仿宋_GB2312" w:cs="Arial"/>
          <w:sz w:val="32"/>
          <w:szCs w:val="32"/>
        </w:rPr>
        <w:t>全文包括</w:t>
      </w:r>
      <w:r>
        <w:rPr>
          <w:rFonts w:hint="eastAsia" w:ascii="仿宋_GB2312" w:hAnsi="华文中宋" w:eastAsia="仿宋_GB2312"/>
          <w:sz w:val="32"/>
          <w:szCs w:val="32"/>
        </w:rPr>
        <w:t>落实《北京市2017年政务公开工作要点》</w:t>
      </w:r>
      <w:r>
        <w:rPr>
          <w:rFonts w:hint="eastAsia" w:ascii="仿宋_GB2312" w:hAnsi="宋体" w:eastAsia="仿宋_GB2312" w:cs="宋体"/>
          <w:kern w:val="0"/>
          <w:sz w:val="32"/>
          <w:szCs w:val="32"/>
        </w:rPr>
        <w:t>工作情况</w:t>
      </w:r>
      <w:r>
        <w:rPr>
          <w:rFonts w:hint="eastAsia" w:ascii="仿宋_GB2312" w:hAnsi="华文中宋" w:eastAsia="仿宋_GB2312"/>
          <w:sz w:val="32"/>
          <w:szCs w:val="32"/>
        </w:rPr>
        <w:t>，</w:t>
      </w:r>
      <w:r>
        <w:rPr>
          <w:rFonts w:hint="eastAsia" w:ascii="仿宋_GB2312" w:hAnsi="宋体" w:eastAsia="仿宋_GB2312" w:cs="宋体"/>
          <w:kern w:val="0"/>
          <w:sz w:val="32"/>
          <w:szCs w:val="32"/>
        </w:rPr>
        <w:t>重点领域信息发布解读情况、存在的不足及2018年重点工作，以及主动公开、回应解读、依申请公开（含不予公开、收费及减免）、行政复议、行政诉讼等政府信息公开相关数据。</w:t>
      </w:r>
    </w:p>
    <w:p>
      <w:pPr>
        <w:spacing w:line="540" w:lineRule="exact"/>
        <w:ind w:firstLine="596" w:firstLineChars="200"/>
        <w:rPr>
          <w:rFonts w:ascii="仿宋_GB2312" w:hAnsi="Arial" w:eastAsia="仿宋_GB2312" w:cs="Arial"/>
          <w:sz w:val="32"/>
          <w:szCs w:val="32"/>
        </w:rPr>
      </w:pPr>
      <w:r>
        <w:rPr>
          <w:rFonts w:hint="eastAsia" w:ascii="仿宋_GB2312" w:hAnsi="Arial" w:eastAsia="仿宋_GB2312" w:cs="Arial"/>
          <w:sz w:val="32"/>
          <w:szCs w:val="32"/>
        </w:rPr>
        <w:t>本报告所列数据的统计期限自2017年1月1日起，至2017年12月31日止。本报告的电子版可在我委网站（</w:t>
      </w:r>
      <w:r>
        <w:rPr>
          <w:rFonts w:ascii="仿宋_GB2312" w:hAnsi="Arial" w:eastAsia="仿宋_GB2312" w:cs="Arial"/>
          <w:sz w:val="32"/>
          <w:szCs w:val="32"/>
        </w:rPr>
        <w:t>http://www.zgc.gov.cn/</w:t>
      </w:r>
      <w:r>
        <w:rPr>
          <w:rFonts w:hint="eastAsia" w:ascii="仿宋_GB2312" w:hAnsi="Arial" w:eastAsia="仿宋_GB2312" w:cs="Arial"/>
          <w:sz w:val="32"/>
          <w:szCs w:val="32"/>
        </w:rPr>
        <w:t>）下载。如对报告有疑问，请联系中关村管委会办公室（地址：北京市海淀区阜成路73号裕惠大厦C座；邮编：100142 ；联系电话：88828975；电子邮箱：xxgk@zgc.gov.cn）。</w:t>
      </w:r>
    </w:p>
    <w:p>
      <w:pPr>
        <w:widowControl/>
        <w:jc w:val="left"/>
        <w:rPr>
          <w:rFonts w:ascii="黑体" w:eastAsia="黑体"/>
          <w:sz w:val="32"/>
          <w:szCs w:val="32"/>
        </w:rPr>
      </w:pPr>
      <w:r>
        <w:rPr>
          <w:rFonts w:ascii="黑体" w:eastAsia="黑体"/>
          <w:sz w:val="32"/>
          <w:szCs w:val="32"/>
        </w:rPr>
        <w:br w:type="page"/>
      </w:r>
    </w:p>
    <w:p>
      <w:pPr>
        <w:widowControl/>
        <w:adjustRightInd w:val="0"/>
        <w:snapToGrid w:val="0"/>
        <w:spacing w:line="540" w:lineRule="exact"/>
        <w:ind w:firstLine="596" w:firstLineChars="200"/>
        <w:outlineLvl w:val="0"/>
        <w:rPr>
          <w:rFonts w:ascii="仿宋_GB2312" w:eastAsia="仿宋_GB2312"/>
          <w:sz w:val="32"/>
          <w:szCs w:val="32"/>
        </w:rPr>
      </w:pPr>
      <w:r>
        <w:rPr>
          <w:rFonts w:hint="eastAsia" w:ascii="仿宋_GB2312" w:eastAsia="仿宋_GB2312"/>
          <w:sz w:val="32"/>
          <w:szCs w:val="32"/>
        </w:rPr>
        <w:t>2017年，我委深入学习贯彻党的十九大精神，以习近平新时代中国特色社会主义思想为指引，以习近平总书记两次视察北京重要讲话精神为根本遵循，深入贯彻市第十二次党代会精神，落实京津冀协同发展国家战略和市委市政府重要决策部署，认真贯彻落实《中华人民共和国政府信息公开条例》《北京市政府信息公开规定》和</w:t>
      </w:r>
      <w:r>
        <w:rPr>
          <w:rFonts w:hint="eastAsia" w:ascii="仿宋_GB2312" w:hAnsi="华文中宋" w:eastAsia="仿宋_GB2312"/>
          <w:sz w:val="32"/>
          <w:szCs w:val="32"/>
        </w:rPr>
        <w:t>《北京市2017年政务公开工作要点》</w:t>
      </w:r>
      <w:r>
        <w:rPr>
          <w:rFonts w:hint="eastAsia" w:ascii="仿宋_GB2312" w:eastAsia="仿宋_GB2312"/>
          <w:sz w:val="32"/>
          <w:szCs w:val="32"/>
        </w:rPr>
        <w:t>的各项要求，围绕中关村示范区建设和全国科技创新中心建设，不断完善信息公开制度，不断提高对示范区各类创新创业主体服务水平，保障社会公众对示范区发展建设的知情权、参与权与监督权。</w:t>
      </w:r>
      <w:r>
        <w:rPr>
          <w:rFonts w:ascii="仿宋_GB2312" w:eastAsia="仿宋_GB2312"/>
          <w:sz w:val="32"/>
          <w:szCs w:val="32"/>
        </w:rPr>
        <w:t xml:space="preserve"> </w:t>
      </w:r>
    </w:p>
    <w:p>
      <w:pPr>
        <w:widowControl/>
        <w:adjustRightInd w:val="0"/>
        <w:snapToGrid w:val="0"/>
        <w:spacing w:line="540" w:lineRule="exact"/>
        <w:ind w:firstLine="596" w:firstLineChars="200"/>
        <w:rPr>
          <w:rFonts w:ascii="楷体_GB2312" w:eastAsia="楷体_GB2312"/>
          <w:sz w:val="32"/>
          <w:szCs w:val="32"/>
        </w:rPr>
      </w:pPr>
      <w:r>
        <w:rPr>
          <w:rFonts w:hint="eastAsia" w:ascii="黑体" w:eastAsia="黑体"/>
          <w:sz w:val="32"/>
          <w:szCs w:val="32"/>
        </w:rPr>
        <w:t>一、年度工作开展情况</w:t>
      </w:r>
    </w:p>
    <w:p>
      <w:pPr>
        <w:widowControl/>
        <w:adjustRightInd w:val="0"/>
        <w:snapToGrid w:val="0"/>
        <w:spacing w:line="540" w:lineRule="exact"/>
        <w:ind w:firstLine="596" w:firstLineChars="200"/>
        <w:rPr>
          <w:rFonts w:ascii="楷体_GB2312" w:eastAsia="楷体_GB2312"/>
          <w:sz w:val="32"/>
          <w:szCs w:val="32"/>
        </w:rPr>
      </w:pPr>
      <w:r>
        <w:rPr>
          <w:rFonts w:hint="eastAsia" w:ascii="楷体_GB2312" w:eastAsia="楷体_GB2312"/>
          <w:sz w:val="32"/>
          <w:szCs w:val="32"/>
        </w:rPr>
        <w:t>（一）有序扩大政民互动，做好政府网站信息内容建设</w:t>
      </w:r>
    </w:p>
    <w:p>
      <w:pPr>
        <w:widowControl/>
        <w:adjustRightInd w:val="0"/>
        <w:snapToGrid w:val="0"/>
        <w:spacing w:line="540" w:lineRule="exact"/>
        <w:ind w:firstLine="596" w:firstLineChars="200"/>
        <w:rPr>
          <w:rFonts w:ascii="仿宋_GB2312" w:eastAsia="仿宋_GB2312"/>
          <w:sz w:val="32"/>
          <w:szCs w:val="32"/>
        </w:rPr>
      </w:pPr>
      <w:r>
        <w:rPr>
          <w:rFonts w:hint="eastAsia" w:ascii="仿宋_GB2312" w:eastAsia="仿宋_GB2312"/>
          <w:sz w:val="32"/>
          <w:szCs w:val="32"/>
        </w:rPr>
        <w:t>一是，围绕科技创新中心建设等社会关注热点，组织开展开放日活动。2017年9月15日至21日举办2017年全国大众创业万众创新活动周北京会场主题展，面向社会各界广泛宣传北京建设全国科技创新中心的最新成就和创新成果。活动周期间，参观北京会场主题展观众近50000人次，高校院所、国企创新主体、中关村产业联盟、民营企业、16区相关部门等积极参观了展览，其中有超过1500名为少年儿童、近300个团体组织。人民日报等主流媒体关于北京会场的新闻报道接近8000篇次，其中新媒体报道近4000篇次。新媒体直播和微信、微博、今日头条等信息推送，吸引了社会大众特别是年轻人的关注，掀起了新一轮鼓励双创、参与双创的热潮。</w:t>
      </w:r>
    </w:p>
    <w:p>
      <w:pPr>
        <w:widowControl/>
        <w:adjustRightInd w:val="0"/>
        <w:snapToGrid w:val="0"/>
        <w:spacing w:line="560" w:lineRule="exact"/>
        <w:ind w:firstLine="596" w:firstLineChars="200"/>
        <w:rPr>
          <w:rFonts w:ascii="仿宋_GB2312" w:eastAsia="仿宋_GB2312"/>
          <w:sz w:val="32"/>
          <w:szCs w:val="32"/>
        </w:rPr>
      </w:pPr>
      <w:r>
        <w:rPr>
          <w:rFonts w:hint="eastAsia" w:ascii="仿宋_GB2312" w:eastAsia="仿宋_GB2312"/>
          <w:sz w:val="32"/>
          <w:szCs w:val="32"/>
        </w:rPr>
        <w:drawing>
          <wp:anchor distT="0" distB="0" distL="114300" distR="114300" simplePos="0" relativeHeight="251659264" behindDoc="0" locked="0" layoutInCell="1" allowOverlap="1">
            <wp:simplePos x="0" y="0"/>
            <wp:positionH relativeFrom="column">
              <wp:posOffset>13335</wp:posOffset>
            </wp:positionH>
            <wp:positionV relativeFrom="paragraph">
              <wp:posOffset>13970</wp:posOffset>
            </wp:positionV>
            <wp:extent cx="5543550" cy="1562100"/>
            <wp:effectExtent l="19050" t="0" r="0" b="0"/>
            <wp:wrapNone/>
            <wp:docPr id="10" name="图片 10" descr="C:\Documents and Settings\Administrator\桌面\新建文件夹\DSC_1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Documents and Settings\Administrator\桌面\新建文件夹\DSC_1393.JPG"/>
                    <pic:cNvPicPr>
                      <a:picLocks noChangeAspect="1" noChangeArrowheads="1"/>
                    </pic:cNvPicPr>
                  </pic:nvPicPr>
                  <pic:blipFill>
                    <a:blip r:embed="rId7" cstate="print"/>
                    <a:srcRect t="35917" b="21706"/>
                    <a:stretch>
                      <a:fillRect/>
                    </a:stretch>
                  </pic:blipFill>
                  <pic:spPr>
                    <a:xfrm>
                      <a:off x="0" y="0"/>
                      <a:ext cx="5543550" cy="1562100"/>
                    </a:xfrm>
                    <a:prstGeom prst="rect">
                      <a:avLst/>
                    </a:prstGeom>
                    <a:noFill/>
                    <a:ln w="9525">
                      <a:noFill/>
                      <a:miter lim="800000"/>
                      <a:headEnd/>
                      <a:tailEnd/>
                    </a:ln>
                  </pic:spPr>
                </pic:pic>
              </a:graphicData>
            </a:graphic>
          </wp:anchor>
        </w:drawing>
      </w:r>
    </w:p>
    <w:p>
      <w:pPr>
        <w:widowControl/>
        <w:adjustRightInd w:val="0"/>
        <w:snapToGrid w:val="0"/>
        <w:spacing w:line="560" w:lineRule="exact"/>
        <w:ind w:firstLine="596" w:firstLineChars="200"/>
        <w:rPr>
          <w:rFonts w:ascii="仿宋_GB2312" w:eastAsia="仿宋_GB2312"/>
          <w:sz w:val="32"/>
          <w:szCs w:val="32"/>
        </w:rPr>
      </w:pPr>
    </w:p>
    <w:p>
      <w:pPr>
        <w:widowControl/>
        <w:adjustRightInd w:val="0"/>
        <w:snapToGrid w:val="0"/>
        <w:spacing w:line="560" w:lineRule="exact"/>
        <w:ind w:firstLine="596" w:firstLineChars="200"/>
        <w:rPr>
          <w:rFonts w:ascii="仿宋_GB2312" w:eastAsia="仿宋_GB2312"/>
          <w:sz w:val="32"/>
          <w:szCs w:val="32"/>
        </w:rPr>
      </w:pPr>
    </w:p>
    <w:p>
      <w:pPr>
        <w:widowControl/>
        <w:adjustRightInd w:val="0"/>
        <w:snapToGrid w:val="0"/>
        <w:spacing w:line="520" w:lineRule="exact"/>
        <w:ind w:firstLine="596" w:firstLineChars="200"/>
        <w:rPr>
          <w:rFonts w:ascii="仿宋_GB2312" w:eastAsia="仿宋_GB2312"/>
          <w:sz w:val="32"/>
          <w:szCs w:val="32"/>
        </w:rPr>
      </w:pPr>
      <w:r>
        <w:rPr>
          <w:rFonts w:hint="eastAsia" w:ascii="仿宋_GB2312" w:eastAsia="仿宋_GB2312"/>
          <w:sz w:val="32"/>
          <w:szCs w:val="32"/>
        </w:rPr>
        <w:t>二是，2017年度我委政务官网完成信息更新1800余条，平均每天更新7条，访问量累计约629万次。其中，政务咨询类栏目已完成有效信件、留言回复15次，调查征集类栏目已完成6次。在网站首页已添加“我为政府网站找错”监督举报平台，有效回复网民纠错留言2次。办事服务类栏目已根据要素规定进行完善，做到类别齐全，服务事项便捷明了。</w:t>
      </w:r>
    </w:p>
    <w:p>
      <w:pPr>
        <w:widowControl/>
        <w:adjustRightInd w:val="0"/>
        <w:snapToGrid w:val="0"/>
        <w:spacing w:line="520" w:lineRule="exact"/>
        <w:ind w:firstLine="596" w:firstLineChars="200"/>
        <w:rPr>
          <w:rFonts w:ascii="仿宋_GB2312" w:eastAsia="仿宋_GB2312"/>
          <w:sz w:val="32"/>
          <w:szCs w:val="32"/>
        </w:rPr>
      </w:pPr>
      <w:r>
        <w:rPr>
          <w:rFonts w:hint="eastAsia" w:ascii="仿宋_GB2312" w:eastAsia="仿宋_GB2312"/>
          <w:sz w:val="32"/>
          <w:szCs w:val="32"/>
        </w:rPr>
        <w:drawing>
          <wp:anchor distT="0" distB="0" distL="114300" distR="114300" simplePos="0" relativeHeight="251660288" behindDoc="0" locked="0" layoutInCell="1" allowOverlap="1">
            <wp:simplePos x="0" y="0"/>
            <wp:positionH relativeFrom="column">
              <wp:posOffset>3594735</wp:posOffset>
            </wp:positionH>
            <wp:positionV relativeFrom="paragraph">
              <wp:posOffset>3919220</wp:posOffset>
            </wp:positionV>
            <wp:extent cx="1866265" cy="2524125"/>
            <wp:effectExtent l="323850" t="209550" r="305435" b="200025"/>
            <wp:wrapSquare wrapText="bothSides"/>
            <wp:docPr id="12" name="图片 12" descr="C:\Documents and Settings\Administrator\桌面\新建文件夹\Scan_20180118_17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Documents and Settings\Administrator\桌面\新建文件夹\Scan_20180118_173304.jpg"/>
                    <pic:cNvPicPr>
                      <a:picLocks noChangeAspect="1" noChangeArrowheads="1"/>
                    </pic:cNvPicPr>
                  </pic:nvPicPr>
                  <pic:blipFill>
                    <a:blip r:embed="rId8" cstate="print"/>
                    <a:srcRect/>
                    <a:stretch>
                      <a:fillRect/>
                    </a:stretch>
                  </pic:blipFill>
                  <pic:spPr>
                    <a:xfrm rot="937816">
                      <a:off x="0" y="0"/>
                      <a:ext cx="1866265" cy="2524125"/>
                    </a:xfrm>
                    <a:prstGeom prst="rect">
                      <a:avLst/>
                    </a:prstGeom>
                    <a:noFill/>
                    <a:ln w="9525">
                      <a:noFill/>
                      <a:miter lim="800000"/>
                      <a:headEnd/>
                      <a:tailEnd/>
                    </a:ln>
                  </pic:spPr>
                </pic:pic>
              </a:graphicData>
            </a:graphic>
          </wp:anchor>
        </w:drawing>
      </w:r>
      <w:r>
        <w:rPr>
          <w:rFonts w:hint="eastAsia" w:ascii="仿宋_GB2312" w:eastAsia="仿宋_GB2312"/>
          <w:sz w:val="32"/>
          <w:szCs w:val="32"/>
        </w:rPr>
        <w:drawing>
          <wp:anchor distT="0" distB="0" distL="114300" distR="114300" simplePos="0" relativeHeight="251661312" behindDoc="0" locked="0" layoutInCell="1" allowOverlap="1">
            <wp:simplePos x="0" y="0"/>
            <wp:positionH relativeFrom="column">
              <wp:posOffset>2194560</wp:posOffset>
            </wp:positionH>
            <wp:positionV relativeFrom="paragraph">
              <wp:posOffset>4004945</wp:posOffset>
            </wp:positionV>
            <wp:extent cx="1800225" cy="2526665"/>
            <wp:effectExtent l="266700" t="171450" r="257175" b="159385"/>
            <wp:wrapSquare wrapText="bothSides"/>
            <wp:docPr id="11" name="图片 11" descr="C:\Documents and Settings\Administrator\桌面\新建文件夹\中关村“1+4”政策宣传册_页面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Documents and Settings\Administrator\桌面\新建文件夹\中关村“1+4”政策宣传册_页面_01.jpg"/>
                    <pic:cNvPicPr>
                      <a:picLocks noChangeAspect="1" noChangeArrowheads="1"/>
                    </pic:cNvPicPr>
                  </pic:nvPicPr>
                  <pic:blipFill>
                    <a:blip r:embed="rId9" cstate="print"/>
                    <a:srcRect b="3540"/>
                    <a:stretch>
                      <a:fillRect/>
                    </a:stretch>
                  </pic:blipFill>
                  <pic:spPr>
                    <a:xfrm rot="20849704">
                      <a:off x="0" y="0"/>
                      <a:ext cx="1800225" cy="2526665"/>
                    </a:xfrm>
                    <a:prstGeom prst="rect">
                      <a:avLst/>
                    </a:prstGeom>
                    <a:noFill/>
                    <a:ln w="9525">
                      <a:noFill/>
                      <a:miter lim="800000"/>
                      <a:headEnd/>
                      <a:tailEnd/>
                    </a:ln>
                  </pic:spPr>
                </pic:pic>
              </a:graphicData>
            </a:graphic>
          </wp:anchor>
        </w:drawing>
      </w:r>
      <w:r>
        <w:rPr>
          <w:rFonts w:hint="eastAsia" w:ascii="仿宋_GB2312" w:eastAsia="仿宋_GB2312"/>
          <w:sz w:val="32"/>
          <w:szCs w:val="32"/>
        </w:rPr>
        <w:drawing>
          <wp:anchor distT="0" distB="0" distL="114300" distR="114300" simplePos="0" relativeHeight="251670528" behindDoc="0" locked="0" layoutInCell="1" allowOverlap="1">
            <wp:simplePos x="0" y="0"/>
            <wp:positionH relativeFrom="column">
              <wp:posOffset>-5715</wp:posOffset>
            </wp:positionH>
            <wp:positionV relativeFrom="paragraph">
              <wp:posOffset>175895</wp:posOffset>
            </wp:positionV>
            <wp:extent cx="2447925" cy="1838325"/>
            <wp:effectExtent l="19050" t="0" r="9525" b="0"/>
            <wp:wrapSquare wrapText="bothSides"/>
            <wp:docPr id="3" name="图片 1" descr="C:\DOCUME~1\ADMINI~1\LOCALS~1\Temp\360zip$Temp\360$0\微信图片_20180122093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DOCUME~1\ADMINI~1\LOCALS~1\Temp\360zip$Temp\360$0\微信图片_20180122093135.jpg"/>
                    <pic:cNvPicPr>
                      <a:picLocks noChangeAspect="1" noChangeArrowheads="1"/>
                    </pic:cNvPicPr>
                  </pic:nvPicPr>
                  <pic:blipFill>
                    <a:blip r:embed="rId10" cstate="print"/>
                    <a:srcRect l="5336" b="5057"/>
                    <a:stretch>
                      <a:fillRect/>
                    </a:stretch>
                  </pic:blipFill>
                  <pic:spPr>
                    <a:xfrm>
                      <a:off x="0" y="0"/>
                      <a:ext cx="2447925" cy="1838325"/>
                    </a:xfrm>
                    <a:prstGeom prst="rect">
                      <a:avLst/>
                    </a:prstGeom>
                    <a:noFill/>
                    <a:ln w="9525">
                      <a:noFill/>
                      <a:miter lim="800000"/>
                      <a:headEnd/>
                      <a:tailEnd/>
                    </a:ln>
                  </pic:spPr>
                </pic:pic>
              </a:graphicData>
            </a:graphic>
          </wp:anchor>
        </w:drawing>
      </w:r>
      <w:r>
        <w:rPr>
          <w:rFonts w:hint="eastAsia" w:ascii="仿宋_GB2312" w:eastAsia="仿宋_GB2312"/>
          <w:sz w:val="32"/>
          <w:szCs w:val="32"/>
        </w:rPr>
        <w:t>三是，2017年，先后组织示范区高成长企业、产业技术联盟和创新型孵化机构参加了第二十届中国北京国际科技产业博览会、第十五届中国国际环保展、第五届中国（绵阳）科技城国际科技博览会、第十九届中国上海国际工业博览会、第十九届中国国际高新技术成果交易会及第二十一届北京</w:t>
      </w:r>
      <w:r>
        <w:rPr>
          <w:rFonts w:hint="eastAsia" w:ascii="宋体" w:hAnsi="宋体" w:cs="宋体"/>
          <w:sz w:val="32"/>
          <w:szCs w:val="32"/>
        </w:rPr>
        <w:t>•</w:t>
      </w:r>
      <w:r>
        <w:rPr>
          <w:rFonts w:hint="eastAsia" w:ascii="仿宋_GB2312" w:hAnsi="仿宋_GB2312" w:eastAsia="仿宋_GB2312" w:cs="仿宋_GB2312"/>
          <w:sz w:val="32"/>
          <w:szCs w:val="32"/>
        </w:rPr>
        <w:t>香港经济合作研讨洽谈会等</w:t>
      </w:r>
      <w:r>
        <w:rPr>
          <w:rFonts w:hint="eastAsia" w:ascii="仿宋_GB2312" w:eastAsia="仿宋_GB2312"/>
          <w:sz w:val="32"/>
          <w:szCs w:val="32"/>
        </w:rPr>
        <w:t>6项国际化展览展示活动，参加展览展示活动的企业210余家，展示产品超过580项，观众人数超过70万人次。活动期间，突出宣传示范区在推进发展新产业、培育新动能，推进全国科技创新中心建设等方面取得的新进展和新成果。</w:t>
      </w:r>
    </w:p>
    <w:p>
      <w:pPr>
        <w:widowControl/>
        <w:adjustRightInd w:val="0"/>
        <w:snapToGrid w:val="0"/>
        <w:spacing w:line="520" w:lineRule="exact"/>
        <w:ind w:firstLine="596" w:firstLineChars="200"/>
        <w:rPr>
          <w:rFonts w:ascii="楷体_GB2312" w:eastAsia="楷体_GB2312"/>
          <w:sz w:val="32"/>
          <w:szCs w:val="32"/>
        </w:rPr>
      </w:pPr>
      <w:r>
        <w:rPr>
          <w:rFonts w:hint="eastAsia" w:ascii="楷体_GB2312" w:eastAsia="楷体_GB2312"/>
          <w:sz w:val="32"/>
          <w:szCs w:val="32"/>
        </w:rPr>
        <w:t>（二）加大决策预公开力度，优化政策解读效果</w:t>
      </w:r>
    </w:p>
    <w:p>
      <w:pPr>
        <w:autoSpaceDE w:val="0"/>
        <w:autoSpaceDN w:val="0"/>
        <w:adjustRightInd w:val="0"/>
        <w:spacing w:line="520" w:lineRule="exact"/>
        <w:ind w:left="178" w:leftChars="95" w:firstLine="596" w:firstLineChars="200"/>
        <w:rPr>
          <w:rFonts w:ascii="仿宋_GB2312" w:hAnsi="Verdana" w:eastAsia="仿宋_GB2312" w:cs="宋体"/>
          <w:color w:val="000000"/>
          <w:kern w:val="0"/>
          <w:sz w:val="32"/>
          <w:szCs w:val="32"/>
        </w:rPr>
      </w:pPr>
      <w:r>
        <w:rPr>
          <w:rFonts w:hint="eastAsia" w:ascii="仿宋_GB2312" w:eastAsia="仿宋_GB2312"/>
          <w:snapToGrid w:val="0"/>
          <w:kern w:val="0"/>
          <w:sz w:val="32"/>
          <w:szCs w:val="32"/>
        </w:rPr>
        <w:t>一是，</w:t>
      </w:r>
      <w:r>
        <w:rPr>
          <w:rFonts w:hint="eastAsia" w:ascii="仿宋_GB2312" w:hAnsi="Verdana" w:eastAsia="仿宋_GB2312" w:cs="宋体"/>
          <w:color w:val="000000"/>
          <w:kern w:val="0"/>
          <w:sz w:val="32"/>
          <w:szCs w:val="32"/>
        </w:rPr>
        <w:t>我委“1+4”政策文件制定过程中，广泛征求示范区企业、社会组织、监管机构、专家、法律顾问等各方意见，开展了政策评估、社会风险评估和合法性审查等工作，做好决策预公开。政策出台以后，通过网站、微信等形式及时向社会发布</w:t>
      </w:r>
      <w:r>
        <w:rPr>
          <w:rFonts w:hint="eastAsia" w:ascii="仿宋_GB2312" w:eastAsia="仿宋_GB2312"/>
          <w:snapToGrid w:val="0"/>
          <w:kern w:val="0"/>
          <w:sz w:val="32"/>
          <w:szCs w:val="32"/>
        </w:rPr>
        <w:t>相应解读，围绕政策出台背景、特点、内容及受益方等重点问题进行详细介绍</w:t>
      </w:r>
      <w:r>
        <w:rPr>
          <w:rFonts w:hint="eastAsia" w:ascii="仿宋_GB2312" w:hAnsi="Verdana" w:eastAsia="仿宋_GB2312" w:cs="宋体"/>
          <w:color w:val="000000"/>
          <w:kern w:val="0"/>
          <w:sz w:val="32"/>
          <w:szCs w:val="32"/>
        </w:rPr>
        <w:t>，</w:t>
      </w:r>
      <w:r>
        <w:rPr>
          <w:rFonts w:hint="eastAsia" w:ascii="仿宋_GB2312" w:eastAsia="仿宋_GB2312"/>
          <w:snapToGrid w:val="0"/>
          <w:kern w:val="0"/>
          <w:sz w:val="32"/>
          <w:szCs w:val="32"/>
        </w:rPr>
        <w:t>并通过一图读懂的图文解读方式开辟宣传解读专题，</w:t>
      </w:r>
      <w:r>
        <w:rPr>
          <w:rFonts w:hint="eastAsia" w:ascii="仿宋_GB2312" w:hAnsi="Verdana" w:eastAsia="仿宋_GB2312" w:cs="宋体"/>
          <w:color w:val="000000"/>
          <w:kern w:val="0"/>
          <w:sz w:val="32"/>
          <w:szCs w:val="32"/>
        </w:rPr>
        <w:t>提高政策知晓率。在2017年“双创周”期间，制作“1+4”宣传册，发放1000余册，进一步加大了政策内容解读力度。</w:t>
      </w:r>
    </w:p>
    <w:p>
      <w:pPr>
        <w:spacing w:line="520" w:lineRule="exact"/>
        <w:ind w:firstLine="596" w:firstLineChars="200"/>
        <w:rPr>
          <w:rFonts w:ascii="仿宋_GB2312" w:eastAsia="仿宋_GB2312"/>
          <w:snapToGrid w:val="0"/>
          <w:kern w:val="0"/>
          <w:sz w:val="32"/>
          <w:szCs w:val="32"/>
        </w:rPr>
      </w:pPr>
      <w:r>
        <w:rPr>
          <w:rFonts w:ascii="仿宋_GB2312" w:eastAsia="仿宋_GB2312"/>
          <w:snapToGrid w:val="0"/>
          <w:kern w:val="0"/>
          <w:sz w:val="32"/>
          <w:szCs w:val="32"/>
        </w:rPr>
        <w:drawing>
          <wp:anchor distT="0" distB="0" distL="114300" distR="114300" simplePos="0" relativeHeight="251662336" behindDoc="0" locked="0" layoutInCell="1" allowOverlap="1">
            <wp:simplePos x="0" y="0"/>
            <wp:positionH relativeFrom="column">
              <wp:posOffset>60960</wp:posOffset>
            </wp:positionH>
            <wp:positionV relativeFrom="paragraph">
              <wp:posOffset>331470</wp:posOffset>
            </wp:positionV>
            <wp:extent cx="2371725" cy="2447925"/>
            <wp:effectExtent l="19050" t="0" r="0" b="0"/>
            <wp:wrapSquare wrapText="bothSides"/>
            <wp:docPr id="6" name="对象 3"/>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4522897" cy="4520312"/>
                      <a:chOff x="3851406" y="1698122"/>
                      <a:chExt cx="4522897" cy="4520312"/>
                    </a:xfrm>
                  </a:grpSpPr>
                  <a:grpSp>
                    <a:nvGrpSpPr>
                      <a:cNvPr id="40" name="组合 39"/>
                      <a:cNvGrpSpPr/>
                    </a:nvGrpSpPr>
                    <a:grpSpPr>
                      <a:xfrm>
                        <a:off x="3851406" y="1698122"/>
                        <a:ext cx="4522897" cy="4520312"/>
                        <a:chOff x="3410966" y="1835033"/>
                        <a:chExt cx="4522897" cy="4520312"/>
                      </a:xfrm>
                    </a:grpSpPr>
                    <a:grpSp>
                      <a:nvGrpSpPr>
                        <a:cNvPr id="3" name="组合 40"/>
                        <a:cNvGrpSpPr/>
                      </a:nvGrpSpPr>
                      <a:grpSpPr>
                        <a:xfrm>
                          <a:off x="3410966" y="1835033"/>
                          <a:ext cx="2216853" cy="2216853"/>
                          <a:chOff x="3410966" y="1835033"/>
                          <a:chExt cx="2216853" cy="2216853"/>
                        </a:xfrm>
                      </a:grpSpPr>
                      <a:sp>
                        <a:nvSpPr>
                          <a:cNvPr id="84" name="Freeform 11"/>
                          <a:cNvSpPr/>
                        </a:nvSpPr>
                        <a:spPr bwMode="auto">
                          <a:xfrm>
                            <a:off x="3410966" y="1835033"/>
                            <a:ext cx="2216853" cy="2216853"/>
                          </a:xfrm>
                          <a:custGeom>
                            <a:avLst/>
                            <a:gdLst>
                              <a:gd name="T0" fmla="*/ 727 w 1715"/>
                              <a:gd name="T1" fmla="*/ 1715 h 1715"/>
                              <a:gd name="T2" fmla="*/ 1715 w 1715"/>
                              <a:gd name="T3" fmla="*/ 1715 h 1715"/>
                              <a:gd name="T4" fmla="*/ 1715 w 1715"/>
                              <a:gd name="T5" fmla="*/ 727 h 1715"/>
                              <a:gd name="T6" fmla="*/ 988 w 1715"/>
                              <a:gd name="T7" fmla="*/ 0 h 1715"/>
                              <a:gd name="T8" fmla="*/ 0 w 1715"/>
                              <a:gd name="T9" fmla="*/ 986 h 1715"/>
                              <a:gd name="T10" fmla="*/ 727 w 1715"/>
                              <a:gd name="T11" fmla="*/ 1715 h 1715"/>
                            </a:gdLst>
                            <a:ahLst/>
                            <a:cxnLst>
                              <a:cxn ang="0">
                                <a:pos x="T0" y="T1"/>
                              </a:cxn>
                              <a:cxn ang="0">
                                <a:pos x="T2" y="T3"/>
                              </a:cxn>
                              <a:cxn ang="0">
                                <a:pos x="T4" y="T5"/>
                              </a:cxn>
                              <a:cxn ang="0">
                                <a:pos x="T6" y="T7"/>
                              </a:cxn>
                              <a:cxn ang="0">
                                <a:pos x="T8" y="T9"/>
                              </a:cxn>
                              <a:cxn ang="0">
                                <a:pos x="T10" y="T11"/>
                              </a:cxn>
                            </a:cxnLst>
                            <a:rect l="0" t="0" r="r" b="b"/>
                            <a:pathLst>
                              <a:path w="1715" h="1715">
                                <a:moveTo>
                                  <a:pt x="727" y="1715"/>
                                </a:moveTo>
                                <a:lnTo>
                                  <a:pt x="1715" y="1715"/>
                                </a:lnTo>
                                <a:lnTo>
                                  <a:pt x="1715" y="727"/>
                                </a:lnTo>
                                <a:lnTo>
                                  <a:pt x="988" y="0"/>
                                </a:lnTo>
                                <a:lnTo>
                                  <a:pt x="0" y="986"/>
                                </a:lnTo>
                                <a:lnTo>
                                  <a:pt x="727" y="1715"/>
                                </a:lnTo>
                                <a:close/>
                              </a:path>
                            </a:pathLst>
                          </a:custGeom>
                          <a:solidFill>
                            <a:srgbClr val="7CC8EC"/>
                          </a:solidFill>
                          <a:ln>
                            <a:noFill/>
                          </a:ln>
                        </a:spPr>
                        <a:txSp>
                          <a:txBody>
                            <a:bodyPr vert="horz" wrap="square" lIns="91440" tIns="45720" rIns="91440" bIns="45720" numCol="1" anchor="t" anchorCtr="0" compatLnSpc="1"/>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auto" latinLnBrk="0" hangingPunct="1">
                                <a:lnSpc>
                                  <a:spcPct val="100000"/>
                                </a:lnSpc>
                                <a:spcBef>
                                  <a:spcPts val="0"/>
                                </a:spcBef>
                                <a:spcAft>
                                  <a:spcPts val="0"/>
                                </a:spcAft>
                                <a:buClrTx/>
                                <a:buSzTx/>
                                <a:buFontTx/>
                                <a:buNone/>
                              </a:pPr>
                              <a:endParaRPr kumimoji="0" lang="zh-CN" altLang="en-US" sz="1800" b="0" i="0" u="none" strike="noStrike" kern="1200" cap="none" spc="0" normalizeH="0" baseline="0" noProof="0">
                                <a:ln>
                                  <a:noFill/>
                                </a:ln>
                                <a:solidFill>
                                  <a:prstClr val="black"/>
                                </a:solidFill>
                                <a:effectLst/>
                                <a:uLnTx/>
                                <a:uFillTx/>
                                <a:latin typeface="Calibri" panose="020F0502020204030204"/>
                                <a:ea typeface="宋体" panose="02010600030101010101" charset="-122"/>
                                <a:cs typeface="+mn-cs"/>
                              </a:endParaRPr>
                            </a:p>
                          </a:txBody>
                          <a:useSpRect/>
                        </a:txSp>
                      </a:sp>
                      <a:sp>
                        <a:nvSpPr>
                          <a:cNvPr id="85" name="Freeform 12"/>
                          <a:cNvSpPr/>
                        </a:nvSpPr>
                        <a:spPr bwMode="auto">
                          <a:xfrm>
                            <a:off x="3410966" y="1835033"/>
                            <a:ext cx="2216853" cy="2216853"/>
                          </a:xfrm>
                          <a:custGeom>
                            <a:avLst/>
                            <a:gdLst>
                              <a:gd name="T0" fmla="*/ 727 w 1715"/>
                              <a:gd name="T1" fmla="*/ 1715 h 1715"/>
                              <a:gd name="T2" fmla="*/ 1715 w 1715"/>
                              <a:gd name="T3" fmla="*/ 1715 h 1715"/>
                              <a:gd name="T4" fmla="*/ 1715 w 1715"/>
                              <a:gd name="T5" fmla="*/ 727 h 1715"/>
                              <a:gd name="T6" fmla="*/ 988 w 1715"/>
                              <a:gd name="T7" fmla="*/ 0 h 1715"/>
                              <a:gd name="T8" fmla="*/ 0 w 1715"/>
                              <a:gd name="T9" fmla="*/ 986 h 1715"/>
                              <a:gd name="T10" fmla="*/ 727 w 1715"/>
                              <a:gd name="T11" fmla="*/ 1715 h 1715"/>
                            </a:gdLst>
                            <a:ahLst/>
                            <a:cxnLst>
                              <a:cxn ang="0">
                                <a:pos x="T0" y="T1"/>
                              </a:cxn>
                              <a:cxn ang="0">
                                <a:pos x="T2" y="T3"/>
                              </a:cxn>
                              <a:cxn ang="0">
                                <a:pos x="T4" y="T5"/>
                              </a:cxn>
                              <a:cxn ang="0">
                                <a:pos x="T6" y="T7"/>
                              </a:cxn>
                              <a:cxn ang="0">
                                <a:pos x="T8" y="T9"/>
                              </a:cxn>
                              <a:cxn ang="0">
                                <a:pos x="T10" y="T11"/>
                              </a:cxn>
                            </a:cxnLst>
                            <a:rect l="0" t="0" r="r" b="b"/>
                            <a:pathLst>
                              <a:path w="1715" h="1715">
                                <a:moveTo>
                                  <a:pt x="727" y="1715"/>
                                </a:moveTo>
                                <a:lnTo>
                                  <a:pt x="1715" y="1715"/>
                                </a:lnTo>
                                <a:lnTo>
                                  <a:pt x="1715" y="727"/>
                                </a:lnTo>
                                <a:lnTo>
                                  <a:pt x="988" y="0"/>
                                </a:lnTo>
                                <a:lnTo>
                                  <a:pt x="0" y="986"/>
                                </a:lnTo>
                                <a:lnTo>
                                  <a:pt x="727" y="1715"/>
                                </a:lnTo>
                              </a:path>
                            </a:pathLst>
                          </a:custGeom>
                          <a:noFill/>
                          <a:ln>
                            <a:noFill/>
                          </a:ln>
                        </a:spPr>
                        <a:txSp>
                          <a:txBody>
                            <a:bodyPr vert="horz" wrap="square" lIns="91440" tIns="45720" rIns="91440" bIns="45720" numCol="1" anchor="t" anchorCtr="0" compatLnSpc="1"/>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auto" latinLnBrk="0" hangingPunct="1">
                                <a:lnSpc>
                                  <a:spcPct val="100000"/>
                                </a:lnSpc>
                                <a:spcBef>
                                  <a:spcPts val="0"/>
                                </a:spcBef>
                                <a:spcAft>
                                  <a:spcPts val="0"/>
                                </a:spcAft>
                                <a:buClrTx/>
                                <a:buSzTx/>
                                <a:buFontTx/>
                                <a:buNone/>
                              </a:pPr>
                              <a:endParaRPr kumimoji="0" lang="zh-CN" altLang="en-US" sz="1800" b="0" i="0" u="none" strike="noStrike" kern="1200" cap="none" spc="0" normalizeH="0" baseline="0" noProof="0">
                                <a:ln>
                                  <a:noFill/>
                                </a:ln>
                                <a:solidFill>
                                  <a:prstClr val="black"/>
                                </a:solidFill>
                                <a:effectLst/>
                                <a:uLnTx/>
                                <a:uFillTx/>
                                <a:latin typeface="Calibri" panose="020F0502020204030204"/>
                                <a:ea typeface="宋体" panose="02010600030101010101" charset="-122"/>
                                <a:cs typeface="+mn-cs"/>
                              </a:endParaRPr>
                            </a:p>
                          </a:txBody>
                          <a:useSpRect/>
                        </a:txSp>
                      </a:sp>
                      <a:sp>
                        <a:nvSpPr>
                          <a:cNvPr id="88" name="文本框 87"/>
                          <a:cNvSpPr txBox="1"/>
                        </a:nvSpPr>
                        <a:spPr>
                          <a:xfrm>
                            <a:off x="4021063" y="2841848"/>
                            <a:ext cx="1371600" cy="400110"/>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auto" latinLnBrk="0" hangingPunct="1">
                                <a:lnSpc>
                                  <a:spcPct val="100000"/>
                                </a:lnSpc>
                                <a:spcBef>
                                  <a:spcPts val="0"/>
                                </a:spcBef>
                                <a:spcAft>
                                  <a:spcPts val="0"/>
                                </a:spcAft>
                                <a:buClrTx/>
                                <a:buSzTx/>
                                <a:buFontTx/>
                                <a:buNone/>
                              </a:pPr>
                              <a:r>
                                <a:rPr kumimoji="0" lang="zh-CN" altLang="en-US" sz="2000" b="1" i="0" u="none" strike="noStrike" kern="1200" cap="none" spc="0" normalizeH="0" baseline="0" noProof="0" dirty="0" smtClean="0">
                                  <a:ln>
                                    <a:noFill/>
                                  </a:ln>
                                  <a:solidFill>
                                    <a:prstClr val="white"/>
                                  </a:solidFill>
                                  <a:effectLst/>
                                  <a:uLnTx/>
                                  <a:uFillTx/>
                                  <a:latin typeface="微软雅黑" panose="020B0503020204020204" pitchFamily="34" charset="-122"/>
                                  <a:ea typeface="微软雅黑" panose="020B0503020204020204" pitchFamily="34" charset="-122"/>
                                  <a:cs typeface="+mn-cs"/>
                                </a:rPr>
                                <a:t>   文  字</a:t>
                              </a:r>
                              <a:endParaRPr kumimoji="0" lang="zh-CN" altLang="en-US" sz="2000" b="1" i="0" u="none" strike="noStrike" kern="1200" cap="none" spc="0" normalizeH="0" baseline="0" noProof="0" dirty="0" smtClean="0">
                                <a:ln>
                                  <a:noFill/>
                                </a:ln>
                                <a:solidFill>
                                  <a:prstClr val="white"/>
                                </a:solidFill>
                                <a:effectLst/>
                                <a:uLnTx/>
                                <a:uFillTx/>
                                <a:latin typeface="微软雅黑" panose="020B0503020204020204" pitchFamily="34" charset="-122"/>
                                <a:ea typeface="微软雅黑" panose="020B0503020204020204" pitchFamily="34" charset="-122"/>
                                <a:cs typeface="+mn-cs"/>
                              </a:endParaRPr>
                            </a:p>
                          </a:txBody>
                          <a:useSpRect/>
                        </a:txSp>
                      </a:sp>
                    </a:grpSp>
                    <a:grpSp>
                      <a:nvGrpSpPr>
                        <a:cNvPr id="4" name="组合 41"/>
                        <a:cNvGrpSpPr/>
                      </a:nvGrpSpPr>
                      <a:grpSpPr>
                        <a:xfrm>
                          <a:off x="5717010" y="1835033"/>
                          <a:ext cx="2216853" cy="2216853"/>
                          <a:chOff x="5717010" y="1835033"/>
                          <a:chExt cx="2216853" cy="2216853"/>
                        </a:xfrm>
                      </a:grpSpPr>
                      <a:sp>
                        <a:nvSpPr>
                          <a:cNvPr id="75" name="Freeform 5"/>
                          <a:cNvSpPr/>
                        </a:nvSpPr>
                        <a:spPr bwMode="auto">
                          <a:xfrm>
                            <a:off x="5717010" y="1835033"/>
                            <a:ext cx="2216853" cy="2216853"/>
                          </a:xfrm>
                          <a:custGeom>
                            <a:avLst/>
                            <a:gdLst>
                              <a:gd name="T0" fmla="*/ 988 w 1715"/>
                              <a:gd name="T1" fmla="*/ 1715 h 1715"/>
                              <a:gd name="T2" fmla="*/ 0 w 1715"/>
                              <a:gd name="T3" fmla="*/ 1715 h 1715"/>
                              <a:gd name="T4" fmla="*/ 0 w 1715"/>
                              <a:gd name="T5" fmla="*/ 727 h 1715"/>
                              <a:gd name="T6" fmla="*/ 727 w 1715"/>
                              <a:gd name="T7" fmla="*/ 0 h 1715"/>
                              <a:gd name="T8" fmla="*/ 1715 w 1715"/>
                              <a:gd name="T9" fmla="*/ 986 h 1715"/>
                              <a:gd name="T10" fmla="*/ 988 w 1715"/>
                              <a:gd name="T11" fmla="*/ 1715 h 1715"/>
                            </a:gdLst>
                            <a:ahLst/>
                            <a:cxnLst>
                              <a:cxn ang="0">
                                <a:pos x="T0" y="T1"/>
                              </a:cxn>
                              <a:cxn ang="0">
                                <a:pos x="T2" y="T3"/>
                              </a:cxn>
                              <a:cxn ang="0">
                                <a:pos x="T4" y="T5"/>
                              </a:cxn>
                              <a:cxn ang="0">
                                <a:pos x="T6" y="T7"/>
                              </a:cxn>
                              <a:cxn ang="0">
                                <a:pos x="T8" y="T9"/>
                              </a:cxn>
                              <a:cxn ang="0">
                                <a:pos x="T10" y="T11"/>
                              </a:cxn>
                            </a:cxnLst>
                            <a:rect l="0" t="0" r="r" b="b"/>
                            <a:pathLst>
                              <a:path w="1715" h="1715">
                                <a:moveTo>
                                  <a:pt x="988" y="1715"/>
                                </a:moveTo>
                                <a:lnTo>
                                  <a:pt x="0" y="1715"/>
                                </a:lnTo>
                                <a:lnTo>
                                  <a:pt x="0" y="727"/>
                                </a:lnTo>
                                <a:lnTo>
                                  <a:pt x="727" y="0"/>
                                </a:lnTo>
                                <a:lnTo>
                                  <a:pt x="1715" y="986"/>
                                </a:lnTo>
                                <a:lnTo>
                                  <a:pt x="988" y="1715"/>
                                </a:lnTo>
                                <a:close/>
                              </a:path>
                            </a:pathLst>
                          </a:custGeom>
                          <a:solidFill>
                            <a:srgbClr val="F47264"/>
                          </a:solidFill>
                          <a:ln>
                            <a:noFill/>
                          </a:ln>
                        </a:spPr>
                        <a:txSp>
                          <a:txBody>
                            <a:bodyPr vert="horz" wrap="square" lIns="91440" tIns="45720" rIns="91440" bIns="45720" numCol="1" anchor="t" anchorCtr="0" compatLnSpc="1"/>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auto" latinLnBrk="0" hangingPunct="1">
                                <a:lnSpc>
                                  <a:spcPct val="100000"/>
                                </a:lnSpc>
                                <a:spcBef>
                                  <a:spcPts val="0"/>
                                </a:spcBef>
                                <a:spcAft>
                                  <a:spcPts val="0"/>
                                </a:spcAft>
                                <a:buClrTx/>
                                <a:buSzTx/>
                                <a:buFontTx/>
                                <a:buNone/>
                              </a:pPr>
                              <a:endParaRPr kumimoji="0" lang="zh-CN" altLang="en-US" sz="1800" b="0" i="0" u="none" strike="noStrike" kern="1200" cap="none" spc="0" normalizeH="0" baseline="0" noProof="0">
                                <a:ln>
                                  <a:noFill/>
                                </a:ln>
                                <a:solidFill>
                                  <a:prstClr val="black"/>
                                </a:solidFill>
                                <a:effectLst/>
                                <a:uLnTx/>
                                <a:uFillTx/>
                                <a:latin typeface="Calibri" panose="020F0502020204030204"/>
                                <a:ea typeface="宋体" panose="02010600030101010101" charset="-122"/>
                                <a:cs typeface="+mn-cs"/>
                              </a:endParaRPr>
                            </a:p>
                          </a:txBody>
                          <a:useSpRect/>
                        </a:txSp>
                      </a:sp>
                      <a:sp>
                        <a:nvSpPr>
                          <a:cNvPr id="76" name="Freeform 6"/>
                          <a:cNvSpPr/>
                        </a:nvSpPr>
                        <a:spPr bwMode="auto">
                          <a:xfrm>
                            <a:off x="5717010" y="1835033"/>
                            <a:ext cx="2216853" cy="2216853"/>
                          </a:xfrm>
                          <a:custGeom>
                            <a:avLst/>
                            <a:gdLst>
                              <a:gd name="T0" fmla="*/ 988 w 1715"/>
                              <a:gd name="T1" fmla="*/ 1715 h 1715"/>
                              <a:gd name="T2" fmla="*/ 0 w 1715"/>
                              <a:gd name="T3" fmla="*/ 1715 h 1715"/>
                              <a:gd name="T4" fmla="*/ 0 w 1715"/>
                              <a:gd name="T5" fmla="*/ 727 h 1715"/>
                              <a:gd name="T6" fmla="*/ 727 w 1715"/>
                              <a:gd name="T7" fmla="*/ 0 h 1715"/>
                              <a:gd name="T8" fmla="*/ 1715 w 1715"/>
                              <a:gd name="T9" fmla="*/ 986 h 1715"/>
                              <a:gd name="T10" fmla="*/ 988 w 1715"/>
                              <a:gd name="T11" fmla="*/ 1715 h 1715"/>
                            </a:gdLst>
                            <a:ahLst/>
                            <a:cxnLst>
                              <a:cxn ang="0">
                                <a:pos x="T0" y="T1"/>
                              </a:cxn>
                              <a:cxn ang="0">
                                <a:pos x="T2" y="T3"/>
                              </a:cxn>
                              <a:cxn ang="0">
                                <a:pos x="T4" y="T5"/>
                              </a:cxn>
                              <a:cxn ang="0">
                                <a:pos x="T6" y="T7"/>
                              </a:cxn>
                              <a:cxn ang="0">
                                <a:pos x="T8" y="T9"/>
                              </a:cxn>
                              <a:cxn ang="0">
                                <a:pos x="T10" y="T11"/>
                              </a:cxn>
                            </a:cxnLst>
                            <a:rect l="0" t="0" r="r" b="b"/>
                            <a:pathLst>
                              <a:path w="1715" h="1715">
                                <a:moveTo>
                                  <a:pt x="988" y="1715"/>
                                </a:moveTo>
                                <a:lnTo>
                                  <a:pt x="0" y="1715"/>
                                </a:lnTo>
                                <a:lnTo>
                                  <a:pt x="0" y="727"/>
                                </a:lnTo>
                                <a:lnTo>
                                  <a:pt x="727" y="0"/>
                                </a:lnTo>
                                <a:lnTo>
                                  <a:pt x="1715" y="986"/>
                                </a:lnTo>
                                <a:lnTo>
                                  <a:pt x="988" y="1715"/>
                                </a:lnTo>
                              </a:path>
                            </a:pathLst>
                          </a:custGeom>
                          <a:noFill/>
                          <a:ln>
                            <a:noFill/>
                          </a:ln>
                        </a:spPr>
                        <a:txSp>
                          <a:txBody>
                            <a:bodyPr vert="horz" wrap="square" lIns="91440" tIns="45720" rIns="91440" bIns="45720" numCol="1" anchor="t" anchorCtr="0" compatLnSpc="1"/>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auto" latinLnBrk="0" hangingPunct="1">
                                <a:lnSpc>
                                  <a:spcPct val="100000"/>
                                </a:lnSpc>
                                <a:spcBef>
                                  <a:spcPts val="0"/>
                                </a:spcBef>
                                <a:spcAft>
                                  <a:spcPts val="0"/>
                                </a:spcAft>
                                <a:buClrTx/>
                                <a:buSzTx/>
                                <a:buFontTx/>
                                <a:buNone/>
                              </a:pPr>
                              <a:endParaRPr kumimoji="0" lang="zh-CN" altLang="en-US" sz="1800" b="0" i="0" u="none" strike="noStrike" kern="1200" cap="none" spc="0" normalizeH="0" baseline="0" noProof="0">
                                <a:ln>
                                  <a:noFill/>
                                </a:ln>
                                <a:solidFill>
                                  <a:prstClr val="black"/>
                                </a:solidFill>
                                <a:effectLst/>
                                <a:uLnTx/>
                                <a:uFillTx/>
                                <a:latin typeface="Calibri" panose="020F0502020204030204"/>
                                <a:ea typeface="宋体" panose="02010600030101010101" charset="-122"/>
                                <a:cs typeface="+mn-cs"/>
                              </a:endParaRPr>
                            </a:p>
                          </a:txBody>
                          <a:useSpRect/>
                        </a:txSp>
                      </a:sp>
                      <a:sp>
                        <a:nvSpPr>
                          <a:cNvPr id="78" name="文本框 77"/>
                          <a:cNvSpPr txBox="1"/>
                        </a:nvSpPr>
                        <a:spPr>
                          <a:xfrm>
                            <a:off x="6171894" y="2841848"/>
                            <a:ext cx="1371600" cy="400110"/>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auto" latinLnBrk="0" hangingPunct="1">
                                <a:lnSpc>
                                  <a:spcPct val="100000"/>
                                </a:lnSpc>
                                <a:spcBef>
                                  <a:spcPts val="0"/>
                                </a:spcBef>
                                <a:spcAft>
                                  <a:spcPts val="0"/>
                                </a:spcAft>
                                <a:buClrTx/>
                                <a:buSzTx/>
                                <a:buFontTx/>
                                <a:buNone/>
                              </a:pPr>
                              <a:r>
                                <a:rPr kumimoji="0" lang="zh-CN" altLang="en-US" sz="2000" b="1" i="0" u="none" strike="noStrike" kern="1200" cap="none" spc="0" normalizeH="0" baseline="0" noProof="0" dirty="0" smtClean="0">
                                  <a:ln>
                                    <a:noFill/>
                                  </a:ln>
                                  <a:solidFill>
                                    <a:prstClr val="white"/>
                                  </a:solidFill>
                                  <a:effectLst/>
                                  <a:uLnTx/>
                                  <a:uFillTx/>
                                  <a:latin typeface="微软雅黑" panose="020B0503020204020204" pitchFamily="34" charset="-122"/>
                                  <a:ea typeface="微软雅黑" panose="020B0503020204020204" pitchFamily="34" charset="-122"/>
                                  <a:cs typeface="+mn-cs"/>
                                </a:rPr>
                                <a:t>   图  解</a:t>
                              </a:r>
                              <a:endParaRPr kumimoji="0" lang="zh-CN" altLang="en-US" sz="2000" b="1" i="0" u="none" strike="noStrike" kern="1200" cap="none" spc="0" normalizeH="0" baseline="0" noProof="0" dirty="0" smtClean="0">
                                <a:ln>
                                  <a:noFill/>
                                </a:ln>
                                <a:solidFill>
                                  <a:prstClr val="white"/>
                                </a:solidFill>
                                <a:effectLst/>
                                <a:uLnTx/>
                                <a:uFillTx/>
                                <a:latin typeface="微软雅黑" panose="020B0503020204020204" pitchFamily="34" charset="-122"/>
                                <a:ea typeface="微软雅黑" panose="020B0503020204020204" pitchFamily="34" charset="-122"/>
                                <a:cs typeface="+mn-cs"/>
                              </a:endParaRPr>
                            </a:p>
                          </a:txBody>
                          <a:useSpRect/>
                        </a:txSp>
                      </a:sp>
                    </a:grpSp>
                    <a:grpSp>
                      <a:nvGrpSpPr>
                        <a:cNvPr id="5" name="组合 43"/>
                        <a:cNvGrpSpPr/>
                      </a:nvGrpSpPr>
                      <a:grpSpPr>
                        <a:xfrm>
                          <a:off x="5715718" y="4146248"/>
                          <a:ext cx="2209097" cy="2209097"/>
                          <a:chOff x="5715718" y="4146248"/>
                          <a:chExt cx="2209097" cy="2209097"/>
                        </a:xfrm>
                      </a:grpSpPr>
                      <a:sp>
                        <a:nvSpPr>
                          <a:cNvPr id="64" name="Freeform 9"/>
                          <a:cNvSpPr/>
                        </a:nvSpPr>
                        <a:spPr bwMode="auto">
                          <a:xfrm>
                            <a:off x="5715718" y="4146248"/>
                            <a:ext cx="2209097" cy="2209097"/>
                          </a:xfrm>
                          <a:custGeom>
                            <a:avLst/>
                            <a:gdLst>
                              <a:gd name="T0" fmla="*/ 0 w 1709"/>
                              <a:gd name="T1" fmla="*/ 986 h 1709"/>
                              <a:gd name="T2" fmla="*/ 0 w 1709"/>
                              <a:gd name="T3" fmla="*/ 0 h 1709"/>
                              <a:gd name="T4" fmla="*/ 987 w 1709"/>
                              <a:gd name="T5" fmla="*/ 0 h 1709"/>
                              <a:gd name="T6" fmla="*/ 1709 w 1709"/>
                              <a:gd name="T7" fmla="*/ 722 h 1709"/>
                              <a:gd name="T8" fmla="*/ 721 w 1709"/>
                              <a:gd name="T9" fmla="*/ 1709 h 1709"/>
                              <a:gd name="T10" fmla="*/ 0 w 1709"/>
                              <a:gd name="T11" fmla="*/ 986 h 1709"/>
                            </a:gdLst>
                            <a:ahLst/>
                            <a:cxnLst>
                              <a:cxn ang="0">
                                <a:pos x="T0" y="T1"/>
                              </a:cxn>
                              <a:cxn ang="0">
                                <a:pos x="T2" y="T3"/>
                              </a:cxn>
                              <a:cxn ang="0">
                                <a:pos x="T4" y="T5"/>
                              </a:cxn>
                              <a:cxn ang="0">
                                <a:pos x="T6" y="T7"/>
                              </a:cxn>
                              <a:cxn ang="0">
                                <a:pos x="T8" y="T9"/>
                              </a:cxn>
                              <a:cxn ang="0">
                                <a:pos x="T10" y="T11"/>
                              </a:cxn>
                            </a:cxnLst>
                            <a:rect l="0" t="0" r="r" b="b"/>
                            <a:pathLst>
                              <a:path w="1709" h="1709">
                                <a:moveTo>
                                  <a:pt x="0" y="986"/>
                                </a:moveTo>
                                <a:lnTo>
                                  <a:pt x="0" y="0"/>
                                </a:lnTo>
                                <a:lnTo>
                                  <a:pt x="987" y="0"/>
                                </a:lnTo>
                                <a:lnTo>
                                  <a:pt x="1709" y="722"/>
                                </a:lnTo>
                                <a:lnTo>
                                  <a:pt x="721" y="1709"/>
                                </a:lnTo>
                                <a:lnTo>
                                  <a:pt x="0" y="986"/>
                                </a:lnTo>
                                <a:close/>
                              </a:path>
                            </a:pathLst>
                          </a:custGeom>
                          <a:solidFill>
                            <a:srgbClr val="84CBC5"/>
                          </a:solidFill>
                          <a:ln>
                            <a:noFill/>
                          </a:ln>
                        </a:spPr>
                        <a:txSp>
                          <a:txBody>
                            <a:bodyPr vert="horz" wrap="square" lIns="91440" tIns="45720" rIns="91440" bIns="45720" numCol="1" anchor="t" anchorCtr="0" compatLnSpc="1"/>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auto" latinLnBrk="0" hangingPunct="1">
                                <a:lnSpc>
                                  <a:spcPct val="100000"/>
                                </a:lnSpc>
                                <a:spcBef>
                                  <a:spcPts val="0"/>
                                </a:spcBef>
                                <a:spcAft>
                                  <a:spcPts val="0"/>
                                </a:spcAft>
                                <a:buClrTx/>
                                <a:buSzTx/>
                                <a:buFontTx/>
                                <a:buNone/>
                              </a:pPr>
                              <a:endParaRPr kumimoji="0" lang="zh-CN" altLang="en-US" sz="1800" b="0" i="0" u="none" strike="noStrike" kern="1200" cap="none" spc="0" normalizeH="0" baseline="0" noProof="0">
                                <a:ln>
                                  <a:noFill/>
                                </a:ln>
                                <a:solidFill>
                                  <a:prstClr val="black"/>
                                </a:solidFill>
                                <a:effectLst/>
                                <a:uLnTx/>
                                <a:uFillTx/>
                                <a:latin typeface="Calibri" panose="020F0502020204030204"/>
                                <a:ea typeface="宋体" panose="02010600030101010101" charset="-122"/>
                                <a:cs typeface="+mn-cs"/>
                              </a:endParaRPr>
                            </a:p>
                          </a:txBody>
                          <a:useSpRect/>
                        </a:txSp>
                      </a:sp>
                      <a:sp>
                        <a:nvSpPr>
                          <a:cNvPr id="65" name="Freeform 10"/>
                          <a:cNvSpPr/>
                        </a:nvSpPr>
                        <a:spPr bwMode="auto">
                          <a:xfrm>
                            <a:off x="5715718" y="4146248"/>
                            <a:ext cx="2209097" cy="2209097"/>
                          </a:xfrm>
                          <a:custGeom>
                            <a:avLst/>
                            <a:gdLst>
                              <a:gd name="T0" fmla="*/ 0 w 1709"/>
                              <a:gd name="T1" fmla="*/ 986 h 1709"/>
                              <a:gd name="T2" fmla="*/ 0 w 1709"/>
                              <a:gd name="T3" fmla="*/ 0 h 1709"/>
                              <a:gd name="T4" fmla="*/ 987 w 1709"/>
                              <a:gd name="T5" fmla="*/ 0 h 1709"/>
                              <a:gd name="T6" fmla="*/ 1709 w 1709"/>
                              <a:gd name="T7" fmla="*/ 722 h 1709"/>
                              <a:gd name="T8" fmla="*/ 721 w 1709"/>
                              <a:gd name="T9" fmla="*/ 1709 h 1709"/>
                              <a:gd name="T10" fmla="*/ 0 w 1709"/>
                              <a:gd name="T11" fmla="*/ 986 h 1709"/>
                            </a:gdLst>
                            <a:ahLst/>
                            <a:cxnLst>
                              <a:cxn ang="0">
                                <a:pos x="T0" y="T1"/>
                              </a:cxn>
                              <a:cxn ang="0">
                                <a:pos x="T2" y="T3"/>
                              </a:cxn>
                              <a:cxn ang="0">
                                <a:pos x="T4" y="T5"/>
                              </a:cxn>
                              <a:cxn ang="0">
                                <a:pos x="T6" y="T7"/>
                              </a:cxn>
                              <a:cxn ang="0">
                                <a:pos x="T8" y="T9"/>
                              </a:cxn>
                              <a:cxn ang="0">
                                <a:pos x="T10" y="T11"/>
                              </a:cxn>
                            </a:cxnLst>
                            <a:rect l="0" t="0" r="r" b="b"/>
                            <a:pathLst>
                              <a:path w="1709" h="1709">
                                <a:moveTo>
                                  <a:pt x="0" y="986"/>
                                </a:moveTo>
                                <a:lnTo>
                                  <a:pt x="0" y="0"/>
                                </a:lnTo>
                                <a:lnTo>
                                  <a:pt x="987" y="0"/>
                                </a:lnTo>
                                <a:lnTo>
                                  <a:pt x="1709" y="722"/>
                                </a:lnTo>
                                <a:lnTo>
                                  <a:pt x="721" y="1709"/>
                                </a:lnTo>
                                <a:lnTo>
                                  <a:pt x="0" y="986"/>
                                </a:lnTo>
                              </a:path>
                            </a:pathLst>
                          </a:custGeom>
                          <a:noFill/>
                          <a:ln>
                            <a:noFill/>
                          </a:ln>
                        </a:spPr>
                        <a:txSp>
                          <a:txBody>
                            <a:bodyPr vert="horz" wrap="square" lIns="91440" tIns="45720" rIns="91440" bIns="45720" numCol="1" anchor="t" anchorCtr="0" compatLnSpc="1"/>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auto" latinLnBrk="0" hangingPunct="1">
                                <a:lnSpc>
                                  <a:spcPct val="100000"/>
                                </a:lnSpc>
                                <a:spcBef>
                                  <a:spcPts val="0"/>
                                </a:spcBef>
                                <a:spcAft>
                                  <a:spcPts val="0"/>
                                </a:spcAft>
                                <a:buClrTx/>
                                <a:buSzTx/>
                                <a:buFontTx/>
                                <a:buNone/>
                              </a:pPr>
                              <a:endParaRPr kumimoji="0" lang="zh-CN" altLang="en-US" sz="1800" b="0" i="0" u="none" strike="noStrike" kern="1200" cap="none" spc="0" normalizeH="0" baseline="0" noProof="0">
                                <a:ln>
                                  <a:noFill/>
                                </a:ln>
                                <a:solidFill>
                                  <a:prstClr val="black"/>
                                </a:solidFill>
                                <a:effectLst/>
                                <a:uLnTx/>
                                <a:uFillTx/>
                                <a:latin typeface="Calibri" panose="020F0502020204030204"/>
                                <a:ea typeface="宋体" panose="02010600030101010101" charset="-122"/>
                                <a:cs typeface="+mn-cs"/>
                              </a:endParaRPr>
                            </a:p>
                          </a:txBody>
                          <a:useSpRect/>
                        </a:txSp>
                      </a:sp>
                      <a:sp>
                        <a:nvSpPr>
                          <a:cNvPr id="67" name="文本框 66"/>
                          <a:cNvSpPr txBox="1"/>
                        </a:nvSpPr>
                        <a:spPr>
                          <a:xfrm>
                            <a:off x="6134466" y="5135199"/>
                            <a:ext cx="1371600" cy="400110"/>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auto" latinLnBrk="0" hangingPunct="1">
                                <a:lnSpc>
                                  <a:spcPct val="100000"/>
                                </a:lnSpc>
                                <a:spcBef>
                                  <a:spcPts val="0"/>
                                </a:spcBef>
                                <a:spcAft>
                                  <a:spcPts val="0"/>
                                </a:spcAft>
                                <a:buClrTx/>
                                <a:buSzTx/>
                                <a:buFontTx/>
                                <a:buNone/>
                              </a:pPr>
                              <a:r>
                                <a:rPr kumimoji="0" lang="zh-CN" altLang="en-US" sz="2000" b="1" i="0" u="none" strike="noStrike" kern="1200" cap="none" spc="0" normalizeH="0" baseline="0" noProof="0" dirty="0" smtClean="0">
                                  <a:ln>
                                    <a:noFill/>
                                  </a:ln>
                                  <a:solidFill>
                                    <a:prstClr val="white"/>
                                  </a:solidFill>
                                  <a:effectLst/>
                                  <a:uLnTx/>
                                  <a:uFillTx/>
                                  <a:latin typeface="微软雅黑" panose="020B0503020204020204" pitchFamily="34" charset="-122"/>
                                  <a:ea typeface="微软雅黑" panose="020B0503020204020204" pitchFamily="34" charset="-122"/>
                                  <a:cs typeface="+mn-cs"/>
                                </a:rPr>
                                <a:t>  视  频</a:t>
                              </a:r>
                              <a:endParaRPr kumimoji="0" lang="zh-CN" altLang="en-US" sz="2000" b="1" i="0" u="none" strike="noStrike" kern="1200" cap="none" spc="0" normalizeH="0" baseline="0" noProof="0" dirty="0" smtClean="0">
                                <a:ln>
                                  <a:noFill/>
                                </a:ln>
                                <a:solidFill>
                                  <a:prstClr val="white"/>
                                </a:solidFill>
                                <a:effectLst/>
                                <a:uLnTx/>
                                <a:uFillTx/>
                                <a:latin typeface="微软雅黑" panose="020B0503020204020204" pitchFamily="34" charset="-122"/>
                                <a:ea typeface="微软雅黑" panose="020B0503020204020204" pitchFamily="34" charset="-122"/>
                                <a:cs typeface="+mn-cs"/>
                              </a:endParaRPr>
                            </a:p>
                          </a:txBody>
                          <a:useSpRect/>
                        </a:txSp>
                      </a:sp>
                    </a:grpSp>
                    <a:grpSp>
                      <a:nvGrpSpPr>
                        <a:cNvPr id="6" name="组合 46"/>
                        <a:cNvGrpSpPr/>
                      </a:nvGrpSpPr>
                      <a:grpSpPr>
                        <a:xfrm>
                          <a:off x="3417430" y="4146248"/>
                          <a:ext cx="2210390" cy="2209097"/>
                          <a:chOff x="3417430" y="4146248"/>
                          <a:chExt cx="2210390" cy="2209097"/>
                        </a:xfrm>
                      </a:grpSpPr>
                      <a:sp>
                        <a:nvSpPr>
                          <a:cNvPr id="50" name="Freeform 7"/>
                          <a:cNvSpPr/>
                        </a:nvSpPr>
                        <a:spPr bwMode="auto">
                          <a:xfrm>
                            <a:off x="3417430" y="4146248"/>
                            <a:ext cx="2210390" cy="2209097"/>
                          </a:xfrm>
                          <a:custGeom>
                            <a:avLst/>
                            <a:gdLst>
                              <a:gd name="T0" fmla="*/ 1710 w 1710"/>
                              <a:gd name="T1" fmla="*/ 986 h 1709"/>
                              <a:gd name="T2" fmla="*/ 1710 w 1710"/>
                              <a:gd name="T3" fmla="*/ 0 h 1709"/>
                              <a:gd name="T4" fmla="*/ 722 w 1710"/>
                              <a:gd name="T5" fmla="*/ 0 h 1709"/>
                              <a:gd name="T6" fmla="*/ 0 w 1710"/>
                              <a:gd name="T7" fmla="*/ 722 h 1709"/>
                              <a:gd name="T8" fmla="*/ 988 w 1710"/>
                              <a:gd name="T9" fmla="*/ 1709 h 1709"/>
                              <a:gd name="T10" fmla="*/ 1710 w 1710"/>
                              <a:gd name="T11" fmla="*/ 986 h 1709"/>
                            </a:gdLst>
                            <a:ahLst/>
                            <a:cxnLst>
                              <a:cxn ang="0">
                                <a:pos x="T0" y="T1"/>
                              </a:cxn>
                              <a:cxn ang="0">
                                <a:pos x="T2" y="T3"/>
                              </a:cxn>
                              <a:cxn ang="0">
                                <a:pos x="T4" y="T5"/>
                              </a:cxn>
                              <a:cxn ang="0">
                                <a:pos x="T6" y="T7"/>
                              </a:cxn>
                              <a:cxn ang="0">
                                <a:pos x="T8" y="T9"/>
                              </a:cxn>
                              <a:cxn ang="0">
                                <a:pos x="T10" y="T11"/>
                              </a:cxn>
                            </a:cxnLst>
                            <a:rect l="0" t="0" r="r" b="b"/>
                            <a:pathLst>
                              <a:path w="1710" h="1709">
                                <a:moveTo>
                                  <a:pt x="1710" y="986"/>
                                </a:moveTo>
                                <a:lnTo>
                                  <a:pt x="1710" y="0"/>
                                </a:lnTo>
                                <a:lnTo>
                                  <a:pt x="722" y="0"/>
                                </a:lnTo>
                                <a:lnTo>
                                  <a:pt x="0" y="722"/>
                                </a:lnTo>
                                <a:lnTo>
                                  <a:pt x="988" y="1709"/>
                                </a:lnTo>
                                <a:lnTo>
                                  <a:pt x="1710" y="986"/>
                                </a:lnTo>
                                <a:close/>
                              </a:path>
                            </a:pathLst>
                          </a:custGeom>
                          <a:solidFill>
                            <a:srgbClr val="F8D35E"/>
                          </a:solidFill>
                          <a:ln>
                            <a:noFill/>
                          </a:ln>
                        </a:spPr>
                        <a:txSp>
                          <a:txBody>
                            <a:bodyPr vert="horz" wrap="square" lIns="91440" tIns="45720" rIns="91440" bIns="45720" numCol="1" anchor="t" anchorCtr="0" compatLnSpc="1"/>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auto" latinLnBrk="0" hangingPunct="1">
                                <a:lnSpc>
                                  <a:spcPct val="100000"/>
                                </a:lnSpc>
                                <a:spcBef>
                                  <a:spcPts val="0"/>
                                </a:spcBef>
                                <a:spcAft>
                                  <a:spcPts val="0"/>
                                </a:spcAft>
                                <a:buClrTx/>
                                <a:buSzTx/>
                                <a:buFontTx/>
                                <a:buNone/>
                              </a:pPr>
                              <a:endParaRPr kumimoji="0" lang="zh-CN" altLang="en-US" sz="1800" b="0" i="0" u="none" strike="noStrike" kern="1200" cap="none" spc="0" normalizeH="0" baseline="0" noProof="0">
                                <a:ln>
                                  <a:noFill/>
                                </a:ln>
                                <a:solidFill>
                                  <a:prstClr val="black"/>
                                </a:solidFill>
                                <a:effectLst/>
                                <a:uLnTx/>
                                <a:uFillTx/>
                                <a:latin typeface="Calibri" panose="020F0502020204030204"/>
                                <a:ea typeface="宋体" panose="02010600030101010101" charset="-122"/>
                                <a:cs typeface="+mn-cs"/>
                              </a:endParaRPr>
                            </a:p>
                          </a:txBody>
                          <a:useSpRect/>
                        </a:txSp>
                      </a:sp>
                      <a:sp>
                        <a:nvSpPr>
                          <a:cNvPr id="51" name="Freeform 8"/>
                          <a:cNvSpPr/>
                        </a:nvSpPr>
                        <a:spPr bwMode="auto">
                          <a:xfrm>
                            <a:off x="3417430" y="4146248"/>
                            <a:ext cx="2210390" cy="2209097"/>
                          </a:xfrm>
                          <a:custGeom>
                            <a:avLst/>
                            <a:gdLst>
                              <a:gd name="T0" fmla="*/ 1710 w 1710"/>
                              <a:gd name="T1" fmla="*/ 986 h 1709"/>
                              <a:gd name="T2" fmla="*/ 1710 w 1710"/>
                              <a:gd name="T3" fmla="*/ 0 h 1709"/>
                              <a:gd name="T4" fmla="*/ 722 w 1710"/>
                              <a:gd name="T5" fmla="*/ 0 h 1709"/>
                              <a:gd name="T6" fmla="*/ 0 w 1710"/>
                              <a:gd name="T7" fmla="*/ 722 h 1709"/>
                              <a:gd name="T8" fmla="*/ 988 w 1710"/>
                              <a:gd name="T9" fmla="*/ 1709 h 1709"/>
                              <a:gd name="T10" fmla="*/ 1710 w 1710"/>
                              <a:gd name="T11" fmla="*/ 986 h 1709"/>
                            </a:gdLst>
                            <a:ahLst/>
                            <a:cxnLst>
                              <a:cxn ang="0">
                                <a:pos x="T0" y="T1"/>
                              </a:cxn>
                              <a:cxn ang="0">
                                <a:pos x="T2" y="T3"/>
                              </a:cxn>
                              <a:cxn ang="0">
                                <a:pos x="T4" y="T5"/>
                              </a:cxn>
                              <a:cxn ang="0">
                                <a:pos x="T6" y="T7"/>
                              </a:cxn>
                              <a:cxn ang="0">
                                <a:pos x="T8" y="T9"/>
                              </a:cxn>
                              <a:cxn ang="0">
                                <a:pos x="T10" y="T11"/>
                              </a:cxn>
                            </a:cxnLst>
                            <a:rect l="0" t="0" r="r" b="b"/>
                            <a:pathLst>
                              <a:path w="1710" h="1709">
                                <a:moveTo>
                                  <a:pt x="1710" y="986"/>
                                </a:moveTo>
                                <a:lnTo>
                                  <a:pt x="1710" y="0"/>
                                </a:lnTo>
                                <a:lnTo>
                                  <a:pt x="722" y="0"/>
                                </a:lnTo>
                                <a:lnTo>
                                  <a:pt x="0" y="722"/>
                                </a:lnTo>
                                <a:lnTo>
                                  <a:pt x="988" y="1709"/>
                                </a:lnTo>
                                <a:lnTo>
                                  <a:pt x="1710" y="986"/>
                                </a:lnTo>
                              </a:path>
                            </a:pathLst>
                          </a:custGeom>
                          <a:noFill/>
                          <a:ln>
                            <a:noFill/>
                          </a:ln>
                        </a:spPr>
                        <a:txSp>
                          <a:txBody>
                            <a:bodyPr vert="horz" wrap="square" lIns="91440" tIns="45720" rIns="91440" bIns="45720" numCol="1" anchor="t" anchorCtr="0" compatLnSpc="1"/>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auto" latinLnBrk="0" hangingPunct="1">
                                <a:lnSpc>
                                  <a:spcPct val="100000"/>
                                </a:lnSpc>
                                <a:spcBef>
                                  <a:spcPts val="0"/>
                                </a:spcBef>
                                <a:spcAft>
                                  <a:spcPts val="0"/>
                                </a:spcAft>
                                <a:buClrTx/>
                                <a:buSzTx/>
                                <a:buFontTx/>
                                <a:buNone/>
                              </a:pPr>
                              <a:endParaRPr kumimoji="0" lang="zh-CN" altLang="en-US" sz="1800" b="0" i="0" u="none" strike="noStrike" kern="1200" cap="none" spc="0" normalizeH="0" baseline="0" noProof="0">
                                <a:ln>
                                  <a:noFill/>
                                </a:ln>
                                <a:solidFill>
                                  <a:prstClr val="black"/>
                                </a:solidFill>
                                <a:effectLst/>
                                <a:uLnTx/>
                                <a:uFillTx/>
                                <a:latin typeface="Calibri" panose="020F0502020204030204"/>
                                <a:ea typeface="宋体" panose="02010600030101010101" charset="-122"/>
                                <a:cs typeface="+mn-cs"/>
                              </a:endParaRPr>
                            </a:p>
                          </a:txBody>
                          <a:useSpRect/>
                        </a:txSp>
                      </a:sp>
                      <a:sp>
                        <a:nvSpPr>
                          <a:cNvPr id="53" name="文本框 52"/>
                          <a:cNvSpPr txBox="1"/>
                        </a:nvSpPr>
                        <a:spPr>
                          <a:xfrm>
                            <a:off x="3983550" y="5093642"/>
                            <a:ext cx="1371600" cy="400110"/>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auto" latinLnBrk="0" hangingPunct="1">
                                <a:lnSpc>
                                  <a:spcPct val="100000"/>
                                </a:lnSpc>
                                <a:spcBef>
                                  <a:spcPts val="0"/>
                                </a:spcBef>
                                <a:spcAft>
                                  <a:spcPts val="0"/>
                                </a:spcAft>
                                <a:buClrTx/>
                                <a:buSzTx/>
                                <a:buFontTx/>
                                <a:buNone/>
                              </a:pPr>
                              <a:r>
                                <a:rPr kumimoji="0" lang="zh-CN" altLang="en-US" sz="2000" b="1" i="0" u="none" strike="noStrike" kern="1200" cap="none" spc="0" normalizeH="0" baseline="0" noProof="0" dirty="0" smtClean="0">
                                  <a:ln>
                                    <a:noFill/>
                                  </a:ln>
                                  <a:solidFill>
                                    <a:prstClr val="white"/>
                                  </a:solidFill>
                                  <a:effectLst/>
                                  <a:uLnTx/>
                                  <a:uFillTx/>
                                  <a:latin typeface="微软雅黑" panose="020B0503020204020204" pitchFamily="34" charset="-122"/>
                                  <a:ea typeface="微软雅黑" panose="020B0503020204020204" pitchFamily="34" charset="-122"/>
                                  <a:cs typeface="+mn-cs"/>
                                </a:rPr>
                                <a:t>  漫  画</a:t>
                              </a:r>
                              <a:endParaRPr kumimoji="0" lang="zh-CN" altLang="en-US" sz="2000" b="1" i="0" u="none" strike="noStrike" kern="1200" cap="none" spc="0" normalizeH="0" baseline="0" noProof="0" dirty="0" smtClean="0">
                                <a:ln>
                                  <a:noFill/>
                                </a:ln>
                                <a:solidFill>
                                  <a:prstClr val="white"/>
                                </a:solidFill>
                                <a:effectLst/>
                                <a:uLnTx/>
                                <a:uFillTx/>
                                <a:latin typeface="微软雅黑" panose="020B0503020204020204" pitchFamily="34" charset="-122"/>
                                <a:ea typeface="微软雅黑" panose="020B0503020204020204" pitchFamily="34" charset="-122"/>
                                <a:cs typeface="+mn-cs"/>
                              </a:endParaRPr>
                            </a:p>
                          </a:txBody>
                          <a:useSpRect/>
                        </a:txSp>
                      </a:sp>
                    </a:grpSp>
                    <a:sp>
                      <a:nvSpPr>
                        <a:cNvPr id="49" name="Oval 17"/>
                        <a:cNvSpPr>
                          <a:spLocks noChangeArrowheads="1"/>
                        </a:cNvSpPr>
                      </a:nvSpPr>
                      <a:spPr bwMode="auto">
                        <a:xfrm>
                          <a:off x="4724273" y="3147048"/>
                          <a:ext cx="1896282" cy="1896282"/>
                        </a:xfrm>
                        <a:prstGeom prst="ellipse">
                          <a:avLst/>
                        </a:prstGeom>
                        <a:solidFill>
                          <a:srgbClr val="F8F4EA"/>
                        </a:solidFill>
                        <a:ln>
                          <a:noFill/>
                        </a:ln>
                      </a:spPr>
                      <a:txSp>
                        <a:txBody>
                          <a:bodyPr vert="horz" wrap="square" lIns="91440" tIns="45720" rIns="91440" bIns="45720" numCol="1" anchor="t" anchorCtr="0" compatLnSpc="1"/>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auto" latinLnBrk="0" hangingPunct="1">
                              <a:lnSpc>
                                <a:spcPct val="100000"/>
                              </a:lnSpc>
                              <a:spcBef>
                                <a:spcPts val="0"/>
                              </a:spcBef>
                              <a:spcAft>
                                <a:spcPts val="0"/>
                              </a:spcAft>
                              <a:buClrTx/>
                              <a:buSzTx/>
                              <a:buFontTx/>
                              <a:buNone/>
                            </a:pPr>
                            <a:endParaRPr kumimoji="0" lang="zh-CN" altLang="en-US" sz="1800" b="0" i="0" u="none" strike="noStrike" kern="1200" cap="none" spc="0" normalizeH="0" baseline="0" noProof="0">
                              <a:ln>
                                <a:noFill/>
                              </a:ln>
                              <a:solidFill>
                                <a:prstClr val="black"/>
                              </a:solidFill>
                              <a:effectLst/>
                              <a:uLnTx/>
                              <a:uFillTx/>
                              <a:latin typeface="Calibri" panose="020F0502020204030204"/>
                              <a:ea typeface="宋体" panose="02010600030101010101" charset="-122"/>
                              <a:cs typeface="+mn-cs"/>
                            </a:endParaRPr>
                          </a:p>
                        </a:txBody>
                        <a:useSpRect/>
                      </a:txSp>
                    </a:sp>
                  </a:grpSp>
                  <a:sp>
                    <a:nvSpPr>
                      <a:cNvPr id="103" name="文本框 77"/>
                      <a:cNvSpPr txBox="1"/>
                    </a:nvSpPr>
                    <a:spPr>
                      <a:xfrm>
                        <a:off x="5471192" y="3760586"/>
                        <a:ext cx="1371600" cy="400110"/>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auto" latinLnBrk="0" hangingPunct="1">
                            <a:lnSpc>
                              <a:spcPct val="100000"/>
                            </a:lnSpc>
                            <a:spcBef>
                              <a:spcPts val="0"/>
                            </a:spcBef>
                            <a:spcAft>
                              <a:spcPts val="0"/>
                            </a:spcAft>
                            <a:buClrTx/>
                            <a:buSzTx/>
                            <a:buFontTx/>
                            <a:buNone/>
                          </a:pPr>
                          <a:r>
                            <a:rPr kumimoji="0" lang="zh-CN" altLang="en-US" sz="2000" b="1" i="0" u="none" strike="noStrike" kern="1200" cap="none" spc="0" normalizeH="0" baseline="0" noProof="0" dirty="0" smtClean="0">
                              <a:ln>
                                <a:noFill/>
                              </a:ln>
                              <a:solidFill>
                                <a:srgbClr val="00B0F0"/>
                              </a:solidFill>
                              <a:effectLst/>
                              <a:uLnTx/>
                              <a:uFillTx/>
                              <a:latin typeface="微软雅黑" panose="020B0503020204020204" pitchFamily="34" charset="-122"/>
                              <a:ea typeface="微软雅黑" panose="020B0503020204020204" pitchFamily="34" charset="-122"/>
                              <a:cs typeface="+mn-cs"/>
                            </a:rPr>
                            <a:t>政策解读</a:t>
                          </a:r>
                          <a:endParaRPr kumimoji="0" lang="zh-CN" altLang="en-US" sz="2000" b="1" i="0" u="none" strike="noStrike" kern="1200" cap="none" spc="0" normalizeH="0" baseline="0" noProof="0" dirty="0" smtClean="0">
                            <a:ln>
                              <a:noFill/>
                            </a:ln>
                            <a:solidFill>
                              <a:srgbClr val="00B0F0"/>
                            </a:solidFill>
                            <a:effectLst/>
                            <a:uLnTx/>
                            <a:uFillTx/>
                            <a:latin typeface="微软雅黑" panose="020B0503020204020204" pitchFamily="34" charset="-122"/>
                            <a:ea typeface="微软雅黑" panose="020B0503020204020204" pitchFamily="34" charset="-122"/>
                            <a:cs typeface="+mn-cs"/>
                          </a:endParaRPr>
                        </a:p>
                      </a:txBody>
                      <a:useSpRect/>
                    </a:txSp>
                  </a:sp>
                </lc:lockedCanvas>
              </a:graphicData>
            </a:graphic>
          </wp:anchor>
        </w:drawing>
      </w:r>
      <w:r>
        <w:rPr>
          <w:rFonts w:hint="eastAsia" w:ascii="仿宋_GB2312" w:eastAsia="仿宋_GB2312"/>
          <w:snapToGrid w:val="0"/>
          <w:kern w:val="0"/>
          <w:sz w:val="32"/>
          <w:szCs w:val="32"/>
        </w:rPr>
        <w:t>二是，全年通过网站开展政策宣传解读23篇，解读形式多样，包括文字、图解、漫画、视频等。对于市政府工作报告中涉及我委负责的重点工作和重要民生实事的动态进展及时通过网站报道，相关稿件数量达到532篇。此外，与首都之窗开展网站合作共建设置人工智能专栏，同时，完成国务院重要政策信息专栏链接开设，同步转载国务院重要政策信息。</w:t>
      </w:r>
    </w:p>
    <w:p>
      <w:pPr>
        <w:widowControl/>
        <w:adjustRightInd w:val="0"/>
        <w:snapToGrid w:val="0"/>
        <w:spacing w:line="520" w:lineRule="exact"/>
        <w:ind w:firstLine="596" w:firstLineChars="200"/>
        <w:rPr>
          <w:rFonts w:ascii="仿宋_GB2312" w:eastAsia="仿宋_GB2312"/>
          <w:snapToGrid w:val="0"/>
          <w:kern w:val="0"/>
          <w:sz w:val="32"/>
          <w:szCs w:val="32"/>
        </w:rPr>
      </w:pPr>
      <w:r>
        <w:rPr>
          <w:rFonts w:hint="eastAsia" w:ascii="仿宋_GB2312" w:eastAsia="仿宋_GB2312"/>
          <w:snapToGrid w:val="0"/>
          <w:kern w:val="0"/>
          <w:sz w:val="32"/>
          <w:szCs w:val="32"/>
        </w:rPr>
        <w:t>三是，2017年我委对照《2017年市政府折子工程分工方案》，针对改革试点政策、科技成果使用、处置和收益管理改革、人才管理改革等方面共向首都之窗“市政府年度重点工作解读”专栏报送解读稿件90篇。其中政策解读图文说明5篇，解读文字材料7篇。</w:t>
      </w:r>
    </w:p>
    <w:p>
      <w:pPr>
        <w:widowControl/>
        <w:adjustRightInd w:val="0"/>
        <w:snapToGrid w:val="0"/>
        <w:spacing w:line="520" w:lineRule="exact"/>
        <w:ind w:firstLine="596" w:firstLineChars="200"/>
        <w:rPr>
          <w:rFonts w:ascii="楷体_GB2312" w:eastAsia="楷体_GB2312"/>
          <w:sz w:val="32"/>
          <w:szCs w:val="32"/>
        </w:rPr>
      </w:pPr>
      <w:r>
        <w:rPr>
          <w:rFonts w:hint="eastAsia" w:ascii="楷体_GB2312" w:eastAsia="楷体_GB2312"/>
          <w:sz w:val="32"/>
          <w:szCs w:val="32"/>
        </w:rPr>
        <w:t>（三）夯实工作基础，制定政务公开清单</w:t>
      </w:r>
    </w:p>
    <w:p>
      <w:pPr>
        <w:widowControl/>
        <w:adjustRightInd w:val="0"/>
        <w:snapToGrid w:val="0"/>
        <w:spacing w:line="520" w:lineRule="exact"/>
        <w:ind w:firstLine="596" w:firstLineChars="200"/>
        <w:rPr>
          <w:rFonts w:ascii="仿宋_GB2312" w:eastAsia="仿宋_GB2312"/>
          <w:sz w:val="32"/>
          <w:szCs w:val="32"/>
        </w:rPr>
      </w:pPr>
      <w:r>
        <w:rPr>
          <w:rFonts w:hint="eastAsia" w:ascii="仿宋_GB2312" w:eastAsia="仿宋_GB2312"/>
          <w:sz w:val="32"/>
          <w:szCs w:val="32"/>
        </w:rPr>
        <w:t>一是，举办“用政务公开的理念和方法 提升政府治理能力和水平” 专题培训，覆盖我委全体干部职工及挂职借调人员300余人次，进一步提高我委政务公开工作人员业务水平，增强政务公开意识。</w:t>
      </w:r>
    </w:p>
    <w:p>
      <w:pPr>
        <w:widowControl/>
        <w:adjustRightInd w:val="0"/>
        <w:snapToGrid w:val="0"/>
        <w:spacing w:line="520" w:lineRule="exact"/>
        <w:ind w:firstLine="596" w:firstLineChars="200"/>
        <w:rPr>
          <w:rFonts w:ascii="仿宋_GB2312" w:eastAsia="仿宋_GB2312"/>
          <w:sz w:val="32"/>
          <w:szCs w:val="32"/>
        </w:rPr>
      </w:pPr>
      <w:r>
        <w:rPr>
          <w:rFonts w:hint="eastAsia" w:ascii="仿宋_GB2312" w:eastAsia="仿宋_GB2312"/>
          <w:sz w:val="32"/>
          <w:szCs w:val="32"/>
        </w:rPr>
        <w:t>二是，制定中关村管委会政务公开清单并在我委官网“政府信息公开”栏目中公开。</w:t>
      </w:r>
    </w:p>
    <w:p>
      <w:pPr>
        <w:adjustRightInd w:val="0"/>
        <w:snapToGrid w:val="0"/>
        <w:spacing w:line="520" w:lineRule="exact"/>
        <w:ind w:firstLine="596" w:firstLineChars="200"/>
        <w:rPr>
          <w:rFonts w:ascii="楷体_GB2312" w:eastAsia="楷体_GB2312"/>
          <w:sz w:val="32"/>
          <w:szCs w:val="32"/>
        </w:rPr>
      </w:pPr>
      <w:r>
        <w:rPr>
          <w:rFonts w:hint="eastAsia" w:ascii="楷体_GB2312" w:eastAsia="楷体_GB2312"/>
          <w:sz w:val="32"/>
          <w:szCs w:val="32"/>
        </w:rPr>
        <w:t>（四）以政务公开助力调结构、转方式</w:t>
      </w:r>
    </w:p>
    <w:p>
      <w:pPr>
        <w:spacing w:line="520" w:lineRule="exact"/>
        <w:ind w:firstLine="596" w:firstLineChars="200"/>
        <w:rPr>
          <w:rFonts w:ascii="仿宋_GB2312" w:eastAsia="仿宋_GB2312"/>
          <w:sz w:val="32"/>
          <w:szCs w:val="32"/>
        </w:rPr>
      </w:pPr>
      <w:r>
        <w:rPr>
          <w:rFonts w:hint="eastAsia" w:ascii="仿宋_GB2312" w:eastAsia="仿宋_GB2312"/>
          <w:sz w:val="32"/>
          <w:szCs w:val="32"/>
        </w:rPr>
        <w:t>一是，推进发展新产业、培育新动能工作信息公开。</w:t>
      </w:r>
    </w:p>
    <w:p>
      <w:pPr>
        <w:spacing w:line="520" w:lineRule="exact"/>
        <w:ind w:firstLine="596" w:firstLineChars="200"/>
        <w:rPr>
          <w:rFonts w:ascii="仿宋_GB2312" w:eastAsia="仿宋_GB2312"/>
          <w:sz w:val="32"/>
          <w:szCs w:val="32"/>
        </w:rPr>
      </w:pPr>
      <w:r>
        <w:rPr>
          <w:rFonts w:hint="eastAsia" w:ascii="仿宋_GB2312" w:eastAsia="仿宋_GB2312"/>
          <w:sz w:val="32"/>
          <w:szCs w:val="32"/>
        </w:rPr>
        <w:t>1.推进产业技术创新战略联盟、科技成果转化基地、众创空间等创新平台建设情况公开，做好科技型中小企业技术创新促进工作情况公开。在官网发布《关于申报2017年中关村社会组织发展支持资金的通知》、对本年度社会组织发展支持资金建设经费拟支持的联盟给予公示。</w:t>
      </w:r>
    </w:p>
    <w:p>
      <w:pPr>
        <w:spacing w:line="520" w:lineRule="exact"/>
        <w:ind w:firstLine="596" w:firstLineChars="200"/>
        <w:rPr>
          <w:rFonts w:ascii="仿宋_GB2312" w:eastAsia="仿宋_GB2312"/>
          <w:sz w:val="32"/>
          <w:szCs w:val="32"/>
        </w:rPr>
      </w:pPr>
      <w:r>
        <w:rPr>
          <w:rFonts w:hint="eastAsia" w:ascii="仿宋_GB2312" w:eastAsia="仿宋_GB2312"/>
          <w:sz w:val="32"/>
          <w:szCs w:val="32"/>
        </w:rPr>
        <w:t>2.做好高精尖产业重点领域项目征集、技术突破、产业应用等信息公开。在官网站发布《关于征集前沿储备项目的通知》及路演通知，通过公开路演的方式选拔前沿项目；对本年度拟支持的前沿企业和2016年度入选、2017年度拟继续支持的前沿企业给予公示；公开2017年融资租赁专项支持资金征集通知并公示支持名单；发布《发挥中关村节能环保技术优势 推进京津冀传统产业转型升级工作方案》和政策解读。</w:t>
      </w:r>
    </w:p>
    <w:p>
      <w:pPr>
        <w:spacing w:line="520" w:lineRule="exact"/>
        <w:ind w:firstLine="596" w:firstLineChars="200"/>
        <w:rPr>
          <w:rFonts w:ascii="仿宋_GB2312" w:eastAsia="仿宋_GB2312"/>
          <w:sz w:val="32"/>
          <w:szCs w:val="32"/>
        </w:rPr>
      </w:pPr>
      <w:r>
        <w:rPr>
          <w:rFonts w:hint="eastAsia" w:ascii="仿宋_GB2312" w:eastAsia="仿宋_GB2312"/>
          <w:sz w:val="32"/>
          <w:szCs w:val="32"/>
        </w:rPr>
        <w:drawing>
          <wp:anchor distT="0" distB="0" distL="114300" distR="114300" simplePos="0" relativeHeight="251663360" behindDoc="0" locked="0" layoutInCell="1" allowOverlap="1">
            <wp:simplePos x="0" y="0"/>
            <wp:positionH relativeFrom="column">
              <wp:posOffset>2013585</wp:posOffset>
            </wp:positionH>
            <wp:positionV relativeFrom="paragraph">
              <wp:posOffset>826770</wp:posOffset>
            </wp:positionV>
            <wp:extent cx="3330575" cy="2181225"/>
            <wp:effectExtent l="19050" t="0" r="3175" b="0"/>
            <wp:wrapSquare wrapText="bothSides"/>
            <wp:docPr id="14" name="图片 13" descr="C:\DOCUME~1\ADMINI~1\LOCALS~1\Temp\360zip$Temp\360$2\868741221144482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C:\DOCUME~1\ADMINI~1\LOCALS~1\Temp\360zip$Temp\360$2\868741221144482886.jpg"/>
                    <pic:cNvPicPr>
                      <a:picLocks noChangeAspect="1" noChangeArrowheads="1"/>
                    </pic:cNvPicPr>
                  </pic:nvPicPr>
                  <pic:blipFill>
                    <a:blip r:embed="rId11" cstate="print"/>
                    <a:srcRect l="24097" t="12232" r="19793" b="32722"/>
                    <a:stretch>
                      <a:fillRect/>
                    </a:stretch>
                  </pic:blipFill>
                  <pic:spPr>
                    <a:xfrm>
                      <a:off x="0" y="0"/>
                      <a:ext cx="3330575" cy="2181225"/>
                    </a:xfrm>
                    <a:prstGeom prst="rect">
                      <a:avLst/>
                    </a:prstGeom>
                    <a:noFill/>
                    <a:ln w="9525">
                      <a:noFill/>
                      <a:miter lim="800000"/>
                      <a:headEnd/>
                      <a:tailEnd/>
                    </a:ln>
                  </pic:spPr>
                </pic:pic>
              </a:graphicData>
            </a:graphic>
          </wp:anchor>
        </w:drawing>
      </w:r>
      <w:r>
        <w:rPr>
          <w:rFonts w:hint="eastAsia" w:ascii="仿宋_GB2312" w:eastAsia="仿宋_GB2312"/>
          <w:sz w:val="32"/>
          <w:szCs w:val="32"/>
        </w:rPr>
        <w:t>3. 开展2017年中关村示范区中小微企业创业创新发展政策宣讲培训，对中关村“1+4”支持政策等方面进行了详细的讲解。培训会一共六场，范围覆盖中关村十六个园区，近千名小微企业代表参加了培训。有效加强示范区企业对创新政策的理解，促进园区内小微企业的快速发展，有效激发中关村创新潜能和创业活力。</w:t>
      </w:r>
    </w:p>
    <w:p>
      <w:pPr>
        <w:spacing w:line="520" w:lineRule="exact"/>
        <w:ind w:firstLine="596" w:firstLineChars="200"/>
        <w:rPr>
          <w:rFonts w:ascii="仿宋_GB2312" w:eastAsia="仿宋_GB2312"/>
          <w:sz w:val="32"/>
        </w:rPr>
      </w:pPr>
      <w:r>
        <w:rPr>
          <w:rFonts w:hint="eastAsia" w:ascii="仿宋_GB2312" w:eastAsia="仿宋_GB2312"/>
          <w:sz w:val="32"/>
          <w:szCs w:val="32"/>
        </w:rPr>
        <w:drawing>
          <wp:anchor distT="0" distB="0" distL="114300" distR="114300" simplePos="0" relativeHeight="251671552" behindDoc="0" locked="0" layoutInCell="1" allowOverlap="1">
            <wp:simplePos x="0" y="0"/>
            <wp:positionH relativeFrom="column">
              <wp:posOffset>-5715</wp:posOffset>
            </wp:positionH>
            <wp:positionV relativeFrom="paragraph">
              <wp:posOffset>-240030</wp:posOffset>
            </wp:positionV>
            <wp:extent cx="2476500" cy="2105025"/>
            <wp:effectExtent l="1905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2" cstate="print"/>
                    <a:srcRect l="23540" t="17582" r="21306" b="7418"/>
                    <a:stretch>
                      <a:fillRect/>
                    </a:stretch>
                  </pic:blipFill>
                  <pic:spPr>
                    <a:xfrm>
                      <a:off x="0" y="0"/>
                      <a:ext cx="2476500" cy="2105025"/>
                    </a:xfrm>
                    <a:prstGeom prst="rect">
                      <a:avLst/>
                    </a:prstGeom>
                    <a:noFill/>
                    <a:ln w="9525">
                      <a:noFill/>
                      <a:miter lim="800000"/>
                      <a:headEnd/>
                      <a:tailEnd/>
                    </a:ln>
                  </pic:spPr>
                </pic:pic>
              </a:graphicData>
            </a:graphic>
          </wp:anchor>
        </w:drawing>
      </w:r>
      <w:r>
        <w:rPr>
          <w:rFonts w:hint="eastAsia" w:ascii="仿宋_GB2312" w:eastAsia="仿宋_GB2312"/>
          <w:sz w:val="32"/>
          <w:szCs w:val="32"/>
        </w:rPr>
        <w:t>4.</w:t>
      </w:r>
      <w:r>
        <w:rPr>
          <w:rFonts w:hint="eastAsia"/>
        </w:rPr>
        <w:t xml:space="preserve"> </w:t>
      </w:r>
      <w:r>
        <w:rPr>
          <w:rFonts w:hint="eastAsia" w:ascii="仿宋_GB2312" w:eastAsia="仿宋_GB2312"/>
          <w:sz w:val="32"/>
          <w:szCs w:val="32"/>
        </w:rPr>
        <w:t>推进中关村国家自主创新示范区“一区多园”统筹协同发展。</w:t>
      </w:r>
      <w:r>
        <w:rPr>
          <w:rFonts w:hint="eastAsia" w:ascii="仿宋_GB2312" w:hAnsi="Calibri" w:eastAsia="仿宋_GB2312"/>
          <w:sz w:val="32"/>
        </w:rPr>
        <w:t>制定印发《中关村国家自主创新示范区一区多园协同发展支持资金管理办法》《</w:t>
      </w:r>
      <w:r>
        <w:rPr>
          <w:rFonts w:ascii="仿宋_GB2312" w:eastAsia="仿宋_GB2312"/>
          <w:sz w:val="32"/>
        </w:rPr>
        <w:t>中关村国家自主创新示范区一区多园协同发展支持资金管理办法实施细则（试行）》</w:t>
      </w:r>
      <w:r>
        <w:rPr>
          <w:rFonts w:hint="eastAsia" w:ascii="仿宋_GB2312" w:hAnsi="Calibri" w:eastAsia="仿宋_GB2312"/>
          <w:sz w:val="32"/>
        </w:rPr>
        <w:t>及</w:t>
      </w:r>
      <w:r>
        <w:rPr>
          <w:rFonts w:hint="eastAsia" w:ascii="仿宋_GB2312" w:eastAsia="仿宋_GB2312"/>
          <w:sz w:val="32"/>
        </w:rPr>
        <w:t>政策解读，在官网上主动公开，组织到部分园区开展政策宣讲活动。向社会公开征集2017年一区多园统筹协同发展专项资金支持项目，对2017年度拟支持的项目情况予以公示，接受社会监督。</w:t>
      </w:r>
    </w:p>
    <w:p>
      <w:pPr>
        <w:spacing w:line="520" w:lineRule="exact"/>
        <w:ind w:firstLine="596" w:firstLineChars="200"/>
        <w:rPr>
          <w:rFonts w:ascii="仿宋_GB2312" w:eastAsia="仿宋_GB2312"/>
          <w:sz w:val="32"/>
          <w:szCs w:val="32"/>
        </w:rPr>
      </w:pPr>
      <w:r>
        <w:rPr>
          <w:rFonts w:hint="eastAsia" w:ascii="仿宋_GB2312" w:eastAsia="仿宋_GB2312"/>
          <w:sz w:val="32"/>
          <w:szCs w:val="32"/>
        </w:rPr>
        <w:t>二是，推进全国科技创新中心建设工作信息公开。</w:t>
      </w:r>
    </w:p>
    <w:p>
      <w:pPr>
        <w:snapToGrid w:val="0"/>
        <w:spacing w:line="520" w:lineRule="exact"/>
        <w:ind w:firstLine="648"/>
        <w:rPr>
          <w:rFonts w:ascii="仿宋_GB2312" w:eastAsia="仿宋_GB2312"/>
          <w:sz w:val="32"/>
        </w:rPr>
      </w:pPr>
      <w:r>
        <w:rPr>
          <w:rFonts w:hint="eastAsia" w:ascii="仿宋_GB2312" w:eastAsia="仿宋_GB2312"/>
          <w:sz w:val="32"/>
        </w:rPr>
        <w:t>1.会同海淀区政府分批次组织中关村科学城项目单位开展中关村科学城建设相关政策宣讲，动员企业积极参与中关村科学城建设。</w:t>
      </w:r>
    </w:p>
    <w:p>
      <w:pPr>
        <w:snapToGrid w:val="0"/>
        <w:spacing w:line="520" w:lineRule="exact"/>
        <w:ind w:firstLine="648"/>
        <w:rPr>
          <w:rFonts w:ascii="仿宋_GB2312" w:eastAsia="仿宋_GB2312"/>
          <w:sz w:val="32"/>
        </w:rPr>
      </w:pPr>
      <w:r>
        <w:rPr>
          <w:rFonts w:hint="eastAsia" w:ascii="仿宋_GB2312" w:eastAsia="仿宋_GB2312"/>
          <w:sz w:val="32"/>
        </w:rPr>
        <w:drawing>
          <wp:anchor distT="0" distB="0" distL="114300" distR="114300" simplePos="0" relativeHeight="251664384" behindDoc="0" locked="0" layoutInCell="1" allowOverlap="1">
            <wp:simplePos x="0" y="0"/>
            <wp:positionH relativeFrom="column">
              <wp:posOffset>632460</wp:posOffset>
            </wp:positionH>
            <wp:positionV relativeFrom="paragraph">
              <wp:posOffset>1309370</wp:posOffset>
            </wp:positionV>
            <wp:extent cx="4133850" cy="2428875"/>
            <wp:effectExtent l="19050" t="0" r="0" b="0"/>
            <wp:wrapNone/>
            <wp:docPr id="15" name="图片 14" descr="C:\DOCUME~1\ADMINI~1\LOCALS~1\Temp\360zip$Temp\360$3\北京市“砥砺奋进的五年”系列发布会——北京建设全国科技创新中心成果新闻发布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C:\DOCUME~1\ADMINI~1\LOCALS~1\Temp\360zip$Temp\360$3\北京市“砥砺奋进的五年”系列发布会——北京建设全国科技创新中心成果新闻发布会.jpg"/>
                    <pic:cNvPicPr>
                      <a:picLocks noChangeAspect="1" noChangeArrowheads="1"/>
                    </pic:cNvPicPr>
                  </pic:nvPicPr>
                  <pic:blipFill>
                    <a:blip r:embed="rId13" cstate="print"/>
                    <a:srcRect t="2204" b="8264"/>
                    <a:stretch>
                      <a:fillRect/>
                    </a:stretch>
                  </pic:blipFill>
                  <pic:spPr>
                    <a:xfrm>
                      <a:off x="0" y="0"/>
                      <a:ext cx="4133850" cy="2428875"/>
                    </a:xfrm>
                    <a:prstGeom prst="rect">
                      <a:avLst/>
                    </a:prstGeom>
                    <a:noFill/>
                    <a:ln w="9525">
                      <a:noFill/>
                      <a:miter lim="800000"/>
                      <a:headEnd/>
                      <a:tailEnd/>
                    </a:ln>
                  </pic:spPr>
                </pic:pic>
              </a:graphicData>
            </a:graphic>
          </wp:anchor>
        </w:drawing>
      </w:r>
      <w:r>
        <w:rPr>
          <w:rFonts w:hint="eastAsia" w:ascii="仿宋_GB2312" w:eastAsia="仿宋_GB2312"/>
          <w:sz w:val="32"/>
        </w:rPr>
        <w:t>2.市政府新闻办组织召开“砥砺奋进五年”系列发布会，中关村管委会副主任赵慧君围绕“中关村在全国科技创新中心建设中发挥主要载体作用”召开新闻发布，并就“中关村科学城建设进展”情况回答了记者的提问，进一步提升中关村科学城工作的影响力。</w:t>
      </w:r>
    </w:p>
    <w:p>
      <w:pPr>
        <w:snapToGrid w:val="0"/>
        <w:spacing w:line="560" w:lineRule="exact"/>
        <w:ind w:firstLine="648"/>
        <w:rPr>
          <w:rFonts w:ascii="仿宋_GB2312" w:eastAsia="仿宋_GB2312"/>
          <w:sz w:val="32"/>
        </w:rPr>
      </w:pPr>
    </w:p>
    <w:p>
      <w:pPr>
        <w:snapToGrid w:val="0"/>
        <w:spacing w:line="560" w:lineRule="exact"/>
        <w:ind w:firstLine="648"/>
        <w:rPr>
          <w:rFonts w:ascii="仿宋_GB2312" w:eastAsia="仿宋_GB2312"/>
          <w:sz w:val="32"/>
        </w:rPr>
      </w:pPr>
    </w:p>
    <w:p>
      <w:pPr>
        <w:snapToGrid w:val="0"/>
        <w:spacing w:line="560" w:lineRule="exact"/>
        <w:ind w:firstLine="648"/>
        <w:rPr>
          <w:rFonts w:ascii="仿宋_GB2312" w:eastAsia="仿宋_GB2312"/>
          <w:sz w:val="32"/>
        </w:rPr>
      </w:pPr>
    </w:p>
    <w:p>
      <w:pPr>
        <w:snapToGrid w:val="0"/>
        <w:spacing w:line="560" w:lineRule="exact"/>
        <w:ind w:firstLine="648"/>
        <w:rPr>
          <w:rFonts w:ascii="仿宋_GB2312" w:eastAsia="仿宋_GB2312"/>
          <w:sz w:val="32"/>
        </w:rPr>
      </w:pPr>
    </w:p>
    <w:p>
      <w:pPr>
        <w:snapToGrid w:val="0"/>
        <w:spacing w:line="560" w:lineRule="exact"/>
        <w:ind w:firstLine="648"/>
        <w:rPr>
          <w:rFonts w:ascii="仿宋_GB2312" w:eastAsia="仿宋_GB2312"/>
          <w:sz w:val="32"/>
        </w:rPr>
      </w:pPr>
    </w:p>
    <w:p>
      <w:pPr>
        <w:snapToGrid w:val="0"/>
        <w:spacing w:line="560" w:lineRule="exact"/>
        <w:ind w:firstLine="648"/>
        <w:rPr>
          <w:rFonts w:ascii="仿宋_GB2312" w:eastAsia="仿宋_GB2312"/>
          <w:sz w:val="32"/>
        </w:rPr>
      </w:pPr>
    </w:p>
    <w:p>
      <w:pPr>
        <w:snapToGrid w:val="0"/>
        <w:spacing w:line="560" w:lineRule="exact"/>
        <w:ind w:firstLine="648"/>
        <w:rPr>
          <w:rFonts w:ascii="仿宋_GB2312" w:eastAsia="仿宋_GB2312"/>
          <w:sz w:val="32"/>
        </w:rPr>
      </w:pPr>
      <w:r>
        <w:rPr>
          <w:rFonts w:hint="eastAsia" w:ascii="仿宋_GB2312" w:eastAsia="仿宋_GB2312"/>
          <w:sz w:val="32"/>
        </w:rPr>
        <w:t>3.开展中关村科学城发展规划调研走访，宣讲科学城建设相关政策,广泛征求社会各界对中关村科学城发展建设的意见和建议，调研走访清华、北大、中科院等</w:t>
      </w:r>
      <w:r>
        <w:rPr>
          <w:rFonts w:ascii="仿宋_GB2312" w:eastAsia="仿宋_GB2312"/>
          <w:sz w:val="32"/>
        </w:rPr>
        <w:t>26</w:t>
      </w:r>
      <w:r>
        <w:rPr>
          <w:rFonts w:hint="eastAsia" w:ascii="仿宋_GB2312" w:eastAsia="仿宋_GB2312"/>
          <w:sz w:val="32"/>
        </w:rPr>
        <w:t>家高校院所及海淀区街道、镇政府、区属部门，组织近50家企业、</w:t>
      </w:r>
      <w:r>
        <w:rPr>
          <w:rFonts w:ascii="仿宋_GB2312" w:eastAsia="仿宋_GB2312"/>
          <w:sz w:val="32"/>
        </w:rPr>
        <w:t>20</w:t>
      </w:r>
      <w:r>
        <w:rPr>
          <w:rFonts w:hint="eastAsia" w:ascii="仿宋_GB2312" w:eastAsia="仿宋_GB2312"/>
          <w:sz w:val="32"/>
        </w:rPr>
        <w:t>家园区、联盟、社会组织等服务机构等分批次召开座谈会，凝聚中关村科学城建设共识，推动全国科技创新中心建设。</w:t>
      </w:r>
    </w:p>
    <w:p>
      <w:pPr>
        <w:spacing w:line="560" w:lineRule="exact"/>
        <w:ind w:firstLine="596" w:firstLineChars="200"/>
        <w:rPr>
          <w:rFonts w:ascii="仿宋_GB2312" w:eastAsia="仿宋_GB2312"/>
          <w:sz w:val="32"/>
          <w:szCs w:val="30"/>
        </w:rPr>
      </w:pPr>
      <w:r>
        <w:rPr>
          <w:rFonts w:hint="eastAsia" w:ascii="仿宋_GB2312" w:eastAsia="仿宋_GB2312"/>
          <w:sz w:val="32"/>
          <w:szCs w:val="32"/>
        </w:rPr>
        <w:t>4. 促进创业创新服务机构建设信息公开，</w:t>
      </w:r>
      <w:r>
        <w:rPr>
          <w:rFonts w:hint="eastAsia" w:ascii="仿宋_GB2312" w:hAnsi="仿宋_GB2312" w:eastAsia="仿宋_GB2312" w:cs="仿宋_GB2312"/>
          <w:sz w:val="32"/>
          <w:szCs w:val="30"/>
        </w:rPr>
        <w:t>组织举办2场专场人才政策宣讲会；会同市工商局走进各分园，开展6场扶持小微企业政策资金管理办法及实施细则宣讲</w:t>
      </w:r>
      <w:r>
        <w:rPr>
          <w:rFonts w:hint="eastAsia" w:ascii="仿宋_GB2312" w:eastAsia="仿宋_GB2312"/>
          <w:sz w:val="32"/>
          <w:szCs w:val="32"/>
        </w:rPr>
        <w:t>。召开16次创业服务机构负责人交流座谈会，重点就升级发展、年度重要工作及创业服务宣传报道等方面展开座谈交流。</w:t>
      </w:r>
    </w:p>
    <w:p>
      <w:pPr>
        <w:autoSpaceDE w:val="0"/>
        <w:autoSpaceDN w:val="0"/>
        <w:adjustRightInd w:val="0"/>
        <w:spacing w:line="560" w:lineRule="exact"/>
        <w:ind w:firstLine="596" w:firstLineChars="200"/>
        <w:rPr>
          <w:rFonts w:ascii="仿宋_GB2312" w:hAnsi="宋体" w:eastAsia="仿宋_GB2312" w:cs="仿宋_GB2312"/>
          <w:color w:val="000000"/>
          <w:sz w:val="32"/>
          <w:szCs w:val="32"/>
          <w:shd w:val="clear" w:color="auto" w:fill="FFFFFF"/>
        </w:rPr>
      </w:pPr>
      <w:r>
        <w:rPr>
          <w:rFonts w:hint="eastAsia" w:ascii="仿宋_GB2312" w:eastAsia="仿宋_GB2312"/>
          <w:sz w:val="32"/>
          <w:szCs w:val="30"/>
        </w:rPr>
        <w:t>支</w:t>
      </w:r>
      <w:r>
        <w:rPr>
          <w:rFonts w:hint="eastAsia" w:ascii="仿宋_GB2312" w:hAnsi="仿宋_GB2312" w:eastAsia="仿宋_GB2312" w:cs="仿宋_GB2312"/>
          <w:sz w:val="32"/>
          <w:szCs w:val="30"/>
        </w:rPr>
        <w:t>持创青春创业大赛、PLUG&amp;PLAY的项目展示、盛景网联十周年、微软加速器第九期项目展示、航天云网军民双创汇等各创业服务机构组织的创业大赛、创业节等活动的开展。</w:t>
      </w:r>
    </w:p>
    <w:p>
      <w:pPr>
        <w:tabs>
          <w:tab w:val="left" w:pos="1870"/>
        </w:tabs>
        <w:autoSpaceDN w:val="0"/>
        <w:adjustRightInd w:val="0"/>
        <w:snapToGrid w:val="0"/>
        <w:spacing w:line="560" w:lineRule="exact"/>
        <w:ind w:firstLine="645"/>
        <w:rPr>
          <w:rFonts w:ascii="仿宋_GB2312" w:hAnsi="仿宋_GB2312" w:eastAsia="仿宋_GB2312" w:cs="仿宋_GB2312"/>
          <w:sz w:val="32"/>
          <w:szCs w:val="30"/>
        </w:rPr>
      </w:pPr>
      <w:r>
        <w:rPr>
          <w:rFonts w:hint="eastAsia" w:ascii="仿宋_GB2312" w:hAnsi="仿宋_GB2312" w:eastAsia="仿宋_GB2312" w:cs="仿宋_GB2312"/>
          <w:sz w:val="32"/>
          <w:szCs w:val="30"/>
        </w:rPr>
        <w:drawing>
          <wp:anchor distT="0" distB="0" distL="114300" distR="114300" simplePos="0" relativeHeight="251665408" behindDoc="0" locked="0" layoutInCell="1" allowOverlap="1">
            <wp:simplePos x="0" y="0"/>
            <wp:positionH relativeFrom="column">
              <wp:posOffset>1604010</wp:posOffset>
            </wp:positionH>
            <wp:positionV relativeFrom="paragraph">
              <wp:posOffset>121920</wp:posOffset>
            </wp:positionV>
            <wp:extent cx="2266950" cy="1514475"/>
            <wp:effectExtent l="19050" t="0" r="0" b="0"/>
            <wp:wrapSquare wrapText="bothSides"/>
            <wp:docPr id="18" name="图片 15" descr="C:\DOCUME~1\ADMINI~1\LOCALS~1\Temp\360zip$Temp\36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C:\DOCUME~1\ADMINI~1\LOCALS~1\Temp\360zip$Temp\360$2\2.jpg"/>
                    <pic:cNvPicPr>
                      <a:picLocks noChangeAspect="1" noChangeArrowheads="1"/>
                    </pic:cNvPicPr>
                  </pic:nvPicPr>
                  <pic:blipFill>
                    <a:blip r:embed="rId14" cstate="print"/>
                    <a:srcRect/>
                    <a:stretch>
                      <a:fillRect/>
                    </a:stretch>
                  </pic:blipFill>
                  <pic:spPr>
                    <a:xfrm>
                      <a:off x="0" y="0"/>
                      <a:ext cx="2266950" cy="1514475"/>
                    </a:xfrm>
                    <a:prstGeom prst="rect">
                      <a:avLst/>
                    </a:prstGeom>
                    <a:noFill/>
                    <a:ln w="9525">
                      <a:noFill/>
                      <a:miter lim="800000"/>
                      <a:headEnd/>
                      <a:tailEnd/>
                    </a:ln>
                  </pic:spPr>
                </pic:pic>
              </a:graphicData>
            </a:graphic>
          </wp:anchor>
        </w:drawing>
      </w:r>
      <w:r>
        <w:rPr>
          <w:rFonts w:hint="eastAsia" w:ascii="仿宋_GB2312" w:hAnsi="仿宋_GB2312" w:eastAsia="仿宋_GB2312" w:cs="仿宋_GB2312"/>
          <w:sz w:val="32"/>
          <w:szCs w:val="30"/>
        </w:rPr>
        <w:drawing>
          <wp:anchor distT="0" distB="0" distL="114300" distR="114300" simplePos="0" relativeHeight="251666432" behindDoc="0" locked="0" layoutInCell="1" allowOverlap="1">
            <wp:simplePos x="0" y="0"/>
            <wp:positionH relativeFrom="column">
              <wp:posOffset>3870960</wp:posOffset>
            </wp:positionH>
            <wp:positionV relativeFrom="paragraph">
              <wp:posOffset>121920</wp:posOffset>
            </wp:positionV>
            <wp:extent cx="2228850" cy="1514475"/>
            <wp:effectExtent l="19050" t="0" r="0" b="0"/>
            <wp:wrapNone/>
            <wp:docPr id="19" name="图片 16" descr="C:\DOCUME~1\ADMINI~1\LOCALS~1\Temp\360zip$Temp\36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descr="C:\DOCUME~1\ADMINI~1\LOCALS~1\Temp\360zip$Temp\360$3\5.jpg"/>
                    <pic:cNvPicPr>
                      <a:picLocks noChangeAspect="1" noChangeArrowheads="1"/>
                    </pic:cNvPicPr>
                  </pic:nvPicPr>
                  <pic:blipFill>
                    <a:blip r:embed="rId15" cstate="print"/>
                    <a:srcRect/>
                    <a:stretch>
                      <a:fillRect/>
                    </a:stretch>
                  </pic:blipFill>
                  <pic:spPr>
                    <a:xfrm>
                      <a:off x="0" y="0"/>
                      <a:ext cx="2228850" cy="1514475"/>
                    </a:xfrm>
                    <a:prstGeom prst="rect">
                      <a:avLst/>
                    </a:prstGeom>
                    <a:noFill/>
                    <a:ln w="9525">
                      <a:noFill/>
                      <a:miter lim="800000"/>
                      <a:headEnd/>
                      <a:tailEnd/>
                    </a:ln>
                  </pic:spPr>
                </pic:pic>
              </a:graphicData>
            </a:graphic>
          </wp:anchor>
        </w:drawing>
      </w:r>
      <w:r>
        <w:rPr>
          <w:rFonts w:hint="eastAsia" w:ascii="仿宋_GB2312" w:hAnsi="仿宋_GB2312" w:eastAsia="仿宋_GB2312" w:cs="仿宋_GB2312"/>
          <w:sz w:val="32"/>
          <w:szCs w:val="30"/>
        </w:rPr>
        <w:drawing>
          <wp:anchor distT="0" distB="0" distL="114300" distR="114300" simplePos="0" relativeHeight="251667456" behindDoc="0" locked="0" layoutInCell="1" allowOverlap="1">
            <wp:simplePos x="0" y="0"/>
            <wp:positionH relativeFrom="column">
              <wp:posOffset>-415290</wp:posOffset>
            </wp:positionH>
            <wp:positionV relativeFrom="paragraph">
              <wp:posOffset>121920</wp:posOffset>
            </wp:positionV>
            <wp:extent cx="2016760" cy="1514475"/>
            <wp:effectExtent l="19050" t="0" r="2540" b="0"/>
            <wp:wrapNone/>
            <wp:docPr id="20" name="图片 17" descr="C:\DOCUME~1\ADMINI~1\LOCALS~1\Temp\360zip$Temp\360$6\创青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descr="C:\DOCUME~1\ADMINI~1\LOCALS~1\Temp\360zip$Temp\360$6\创青春.jpg"/>
                    <pic:cNvPicPr>
                      <a:picLocks noChangeAspect="1" noChangeArrowheads="1"/>
                    </pic:cNvPicPr>
                  </pic:nvPicPr>
                  <pic:blipFill>
                    <a:blip r:embed="rId16" cstate="print"/>
                    <a:srcRect l="6196" r="24613" b="10703"/>
                    <a:stretch>
                      <a:fillRect/>
                    </a:stretch>
                  </pic:blipFill>
                  <pic:spPr>
                    <a:xfrm>
                      <a:off x="0" y="0"/>
                      <a:ext cx="2016760" cy="1514475"/>
                    </a:xfrm>
                    <a:prstGeom prst="rect">
                      <a:avLst/>
                    </a:prstGeom>
                    <a:noFill/>
                    <a:ln w="9525">
                      <a:noFill/>
                      <a:miter lim="800000"/>
                      <a:headEnd/>
                      <a:tailEnd/>
                    </a:ln>
                  </pic:spPr>
                </pic:pic>
              </a:graphicData>
            </a:graphic>
          </wp:anchor>
        </w:drawing>
      </w:r>
    </w:p>
    <w:p>
      <w:pPr>
        <w:tabs>
          <w:tab w:val="left" w:pos="1870"/>
        </w:tabs>
        <w:autoSpaceDN w:val="0"/>
        <w:adjustRightInd w:val="0"/>
        <w:snapToGrid w:val="0"/>
        <w:spacing w:line="560" w:lineRule="exact"/>
        <w:ind w:firstLine="645"/>
        <w:rPr>
          <w:rFonts w:ascii="仿宋_GB2312" w:hAnsi="仿宋_GB2312" w:eastAsia="仿宋_GB2312" w:cs="仿宋_GB2312"/>
          <w:sz w:val="32"/>
          <w:szCs w:val="30"/>
        </w:rPr>
      </w:pPr>
    </w:p>
    <w:p>
      <w:pPr>
        <w:tabs>
          <w:tab w:val="left" w:pos="1870"/>
        </w:tabs>
        <w:autoSpaceDN w:val="0"/>
        <w:adjustRightInd w:val="0"/>
        <w:snapToGrid w:val="0"/>
        <w:spacing w:line="560" w:lineRule="exact"/>
        <w:ind w:firstLine="645"/>
        <w:rPr>
          <w:rFonts w:ascii="仿宋_GB2312" w:hAnsi="仿宋_GB2312" w:eastAsia="仿宋_GB2312" w:cs="仿宋_GB2312"/>
          <w:sz w:val="32"/>
          <w:szCs w:val="30"/>
        </w:rPr>
      </w:pPr>
    </w:p>
    <w:p>
      <w:pPr>
        <w:tabs>
          <w:tab w:val="left" w:pos="1870"/>
        </w:tabs>
        <w:autoSpaceDN w:val="0"/>
        <w:adjustRightInd w:val="0"/>
        <w:snapToGrid w:val="0"/>
        <w:spacing w:line="560" w:lineRule="exact"/>
        <w:ind w:firstLine="645"/>
        <w:rPr>
          <w:rFonts w:ascii="仿宋_GB2312" w:hAnsi="仿宋_GB2312" w:eastAsia="仿宋_GB2312" w:cs="仿宋_GB2312"/>
          <w:sz w:val="32"/>
          <w:szCs w:val="30"/>
        </w:rPr>
      </w:pPr>
    </w:p>
    <w:p>
      <w:pPr>
        <w:tabs>
          <w:tab w:val="left" w:pos="1870"/>
        </w:tabs>
        <w:autoSpaceDN w:val="0"/>
        <w:adjustRightInd w:val="0"/>
        <w:snapToGrid w:val="0"/>
        <w:spacing w:line="560" w:lineRule="exact"/>
        <w:ind w:firstLine="645"/>
        <w:rPr>
          <w:rFonts w:ascii="仿宋_GB2312" w:hAnsi="仿宋_GB2312" w:eastAsia="仿宋_GB2312" w:cs="仿宋_GB2312"/>
          <w:sz w:val="32"/>
          <w:szCs w:val="30"/>
        </w:rPr>
      </w:pPr>
    </w:p>
    <w:p>
      <w:pPr>
        <w:tabs>
          <w:tab w:val="left" w:pos="1870"/>
        </w:tabs>
        <w:autoSpaceDN w:val="0"/>
        <w:adjustRightInd w:val="0"/>
        <w:snapToGrid w:val="0"/>
        <w:spacing w:line="560" w:lineRule="exact"/>
        <w:ind w:firstLine="645"/>
        <w:rPr>
          <w:rFonts w:ascii="仿宋_GB2312" w:hAnsi="宋体" w:eastAsia="仿宋_GB2312" w:cs="宋体"/>
          <w:b/>
          <w:snapToGrid w:val="0"/>
          <w:kern w:val="0"/>
          <w:sz w:val="32"/>
          <w:szCs w:val="32"/>
        </w:rPr>
      </w:pPr>
      <w:r>
        <w:rPr>
          <w:rFonts w:hint="eastAsia" w:ascii="仿宋_GB2312" w:hAnsi="仿宋_GB2312" w:eastAsia="仿宋_GB2312" w:cs="仿宋_GB2312"/>
          <w:sz w:val="32"/>
          <w:szCs w:val="30"/>
        </w:rPr>
        <w:t>5.科技金融创新信息公开。积极组织各项宣讲对接活动服务创新创业主体。面向中关村各类创新创</w:t>
      </w:r>
      <w:r>
        <w:rPr>
          <w:rFonts w:hint="eastAsia" w:ascii="仿宋_GB2312" w:eastAsia="仿宋_GB2312" w:cs="宋体"/>
          <w:color w:val="000000"/>
          <w:kern w:val="0"/>
          <w:sz w:val="32"/>
          <w:szCs w:val="32"/>
          <w:lang w:val="zh-CN"/>
        </w:rPr>
        <w:t>业主体广泛进行政策宣讲，今年以来累计举办9次宣讲，确保其及时深入了解科技金融最新服务政策有关情况。通过合作银行、担保公司等金融中介服务机构举办信用政策和投融资政策宣传宣讲对接活动，今年以来累计举办15场宣讲活动。</w:t>
      </w:r>
    </w:p>
    <w:p>
      <w:pPr>
        <w:tabs>
          <w:tab w:val="left" w:pos="1870"/>
        </w:tabs>
        <w:autoSpaceDN w:val="0"/>
        <w:adjustRightInd w:val="0"/>
        <w:snapToGrid w:val="0"/>
        <w:spacing w:line="560" w:lineRule="exact"/>
        <w:ind w:firstLine="645"/>
        <w:rPr>
          <w:rFonts w:ascii="仿宋_GB2312" w:hAnsi="仿宋" w:eastAsia="仿宋_GB2312"/>
          <w:sz w:val="32"/>
          <w:szCs w:val="32"/>
        </w:rPr>
      </w:pPr>
      <w:r>
        <w:rPr>
          <w:rFonts w:ascii="宋体" w:cs="宋体"/>
          <w:kern w:val="0"/>
          <w:sz w:val="18"/>
          <w:szCs w:val="18"/>
        </w:rPr>
        <w:pict>
          <v:shape id="_x0000_s2050" o:spid="_x0000_s2050" o:spt="75" type="#_x0000_t75" style="position:absolute;left:0pt;margin-left:6.45pt;margin-top:6.1pt;height:161.25pt;width:221.1pt;mso-wrap-distance-bottom:0pt;mso-wrap-distance-left:9pt;mso-wrap-distance-right:9pt;mso-wrap-distance-top:0pt;z-index:251673600;mso-width-relative:page;mso-height-relative:page;" o:ole="t" filled="f" o:preferrelative="t" stroked="f" coordsize="21600,21600">
            <v:path/>
            <v:fill on="f" focussize="0,0"/>
            <v:stroke on="f" joinstyle="miter"/>
            <v:imagedata r:id="rId18" o:title=""/>
            <o:lock v:ext="edit" aspectratio="t"/>
            <w10:wrap type="square"/>
          </v:shape>
          <o:OLEObject Type="Embed" ProgID="Picture.PicObj.1" ShapeID="_x0000_s2050" DrawAspect="Content" ObjectID="_1468075725" r:id="rId17">
            <o:LockedField>false</o:LockedField>
          </o:OLEObject>
        </w:pict>
      </w:r>
      <w:r>
        <w:rPr>
          <w:rFonts w:hint="eastAsia" w:ascii="仿宋_GB2312" w:hAnsi="仿宋_GB2312" w:eastAsia="仿宋_GB2312" w:cs="仿宋_GB2312"/>
          <w:sz w:val="32"/>
          <w:szCs w:val="30"/>
        </w:rPr>
        <w:t>6.外籍人才出入境信息公开。开通中关村外籍人才服务窗口，为外籍人</w:t>
      </w:r>
      <w:r>
        <w:rPr>
          <w:rFonts w:hint="eastAsia" w:ascii="仿宋_GB2312" w:hAnsi="仿宋" w:eastAsia="仿宋_GB2312"/>
          <w:sz w:val="32"/>
          <w:szCs w:val="32"/>
        </w:rPr>
        <w:t>才提供出入境咨询受理。在“创新创业中关村”微信公众号上持续宣传解读</w:t>
      </w:r>
      <w:r>
        <w:rPr>
          <w:rFonts w:hint="eastAsia" w:ascii="仿宋_GB2312" w:hAnsi="仿宋_GB2312" w:eastAsia="仿宋_GB2312" w:cs="仿宋_GB2312"/>
          <w:sz w:val="32"/>
          <w:szCs w:val="30"/>
        </w:rPr>
        <w:t>外籍人才</w:t>
      </w:r>
      <w:r>
        <w:rPr>
          <w:rFonts w:hint="eastAsia" w:ascii="仿宋_GB2312" w:hAnsi="仿宋" w:eastAsia="仿宋_GB2312"/>
          <w:sz w:val="32"/>
          <w:szCs w:val="32"/>
        </w:rPr>
        <w:t>出入境政策。全年累计在海淀、朝阳、亦庄、顺义等地开展</w:t>
      </w:r>
      <w:r>
        <w:rPr>
          <w:rFonts w:hint="eastAsia" w:ascii="仿宋_GB2312" w:hAnsi="仿宋_GB2312" w:eastAsia="仿宋_GB2312" w:cs="仿宋_GB2312"/>
          <w:sz w:val="32"/>
          <w:szCs w:val="30"/>
        </w:rPr>
        <w:t>外籍人才</w:t>
      </w:r>
      <w:r>
        <w:rPr>
          <w:rFonts w:hint="eastAsia" w:ascii="仿宋_GB2312" w:hAnsi="仿宋" w:eastAsia="仿宋_GB2312"/>
          <w:sz w:val="32"/>
          <w:szCs w:val="32"/>
        </w:rPr>
        <w:t>出入境政策宣讲活动30余场。通过中关村10个海外联络处，宣传中关村的外籍人才出入境政策。2017年全年中关村驻硅谷、悉尼、德国等10个联络处共举办或参与宣讲活动80余场，通过当地的高校、协会、社团、创意大赛、孵化器等宣传中关村出入境政策。</w:t>
      </w:r>
    </w:p>
    <w:p>
      <w:pPr>
        <w:adjustRightInd w:val="0"/>
        <w:snapToGrid w:val="0"/>
        <w:spacing w:line="560" w:lineRule="exact"/>
        <w:ind w:firstLine="596" w:firstLineChars="200"/>
        <w:rPr>
          <w:rFonts w:ascii="黑体" w:eastAsia="黑体"/>
          <w:sz w:val="32"/>
          <w:szCs w:val="32"/>
        </w:rPr>
      </w:pPr>
      <w:r>
        <w:rPr>
          <w:rFonts w:hint="eastAsia" w:ascii="黑体" w:eastAsia="黑体"/>
          <w:sz w:val="32"/>
          <w:szCs w:val="32"/>
        </w:rPr>
        <w:t>二、政府信息公开数据</w:t>
      </w:r>
    </w:p>
    <w:p>
      <w:pPr>
        <w:adjustRightInd w:val="0"/>
        <w:snapToGrid w:val="0"/>
        <w:spacing w:line="560" w:lineRule="exact"/>
        <w:ind w:firstLine="596" w:firstLineChars="200"/>
        <w:rPr>
          <w:rFonts w:ascii="楷体_GB2312" w:eastAsia="楷体_GB2312"/>
          <w:sz w:val="32"/>
          <w:szCs w:val="32"/>
        </w:rPr>
      </w:pPr>
      <w:r>
        <w:rPr>
          <w:rFonts w:hint="eastAsia" w:ascii="楷体_GB2312" w:eastAsia="楷体_GB2312"/>
          <w:sz w:val="32"/>
          <w:szCs w:val="32"/>
        </w:rPr>
        <w:t>（一）主动公开情况</w:t>
      </w:r>
    </w:p>
    <w:p>
      <w:pPr>
        <w:adjustRightInd w:val="0"/>
        <w:snapToGrid w:val="0"/>
        <w:spacing w:line="560" w:lineRule="exact"/>
        <w:ind w:firstLine="596" w:firstLineChars="200"/>
        <w:rPr>
          <w:rFonts w:ascii="仿宋_GB2312" w:eastAsia="仿宋_GB2312"/>
          <w:sz w:val="32"/>
          <w:szCs w:val="32"/>
        </w:rPr>
      </w:pPr>
      <w:r>
        <w:rPr>
          <w:rFonts w:hint="eastAsia" w:ascii="仿宋_GB2312" w:eastAsia="仿宋_GB2312"/>
          <w:sz w:val="32"/>
          <w:szCs w:val="32"/>
        </w:rPr>
        <w:t>2017年主动公开政府信息1812条（不同渠道和方式公开相同信息计1条），主动公开规范性文件12件，主动公开重点领域政府信息323条。</w:t>
      </w:r>
    </w:p>
    <w:p>
      <w:pPr>
        <w:adjustRightInd w:val="0"/>
        <w:snapToGrid w:val="0"/>
        <w:spacing w:line="560" w:lineRule="exact"/>
        <w:ind w:firstLine="596" w:firstLineChars="200"/>
        <w:rPr>
          <w:rFonts w:ascii="仿宋_GB2312" w:eastAsia="仿宋_GB2312"/>
          <w:sz w:val="32"/>
          <w:szCs w:val="32"/>
        </w:rPr>
      </w:pPr>
      <w:r>
        <w:rPr>
          <w:rFonts w:hint="eastAsia" w:ascii="仿宋_GB2312" w:eastAsia="仿宋_GB2312"/>
          <w:sz w:val="32"/>
          <w:szCs w:val="32"/>
        </w:rPr>
        <w:drawing>
          <wp:anchor distT="0" distB="0" distL="114300" distR="114300" simplePos="0" relativeHeight="251672576" behindDoc="0" locked="0" layoutInCell="1" allowOverlap="1">
            <wp:simplePos x="0" y="0"/>
            <wp:positionH relativeFrom="column">
              <wp:posOffset>-43815</wp:posOffset>
            </wp:positionH>
            <wp:positionV relativeFrom="paragraph">
              <wp:posOffset>26670</wp:posOffset>
            </wp:positionV>
            <wp:extent cx="3171825" cy="2066925"/>
            <wp:effectExtent l="19050" t="0" r="9525" b="0"/>
            <wp:wrapSquare wrapText="bothSides"/>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noChangeArrowheads="1"/>
                    </pic:cNvPicPr>
                  </pic:nvPicPr>
                  <pic:blipFill>
                    <a:blip r:embed="rId19" cstate="print"/>
                    <a:srcRect l="52749" t="26409" r="12543" b="42600"/>
                    <a:stretch>
                      <a:fillRect/>
                    </a:stretch>
                  </pic:blipFill>
                  <pic:spPr>
                    <a:xfrm>
                      <a:off x="0" y="0"/>
                      <a:ext cx="3171825" cy="2066925"/>
                    </a:xfrm>
                    <a:prstGeom prst="rect">
                      <a:avLst/>
                    </a:prstGeom>
                    <a:noFill/>
                    <a:ln w="9525">
                      <a:noFill/>
                      <a:miter lim="800000"/>
                      <a:headEnd/>
                      <a:tailEnd/>
                    </a:ln>
                  </pic:spPr>
                </pic:pic>
              </a:graphicData>
            </a:graphic>
          </wp:anchor>
        </w:drawing>
      </w:r>
      <w:r>
        <w:rPr>
          <w:rFonts w:hint="eastAsia" w:ascii="仿宋_GB2312" w:eastAsia="仿宋_GB2312"/>
          <w:sz w:val="32"/>
          <w:szCs w:val="32"/>
        </w:rPr>
        <w:t>2017年，网站共更新信息1800余条；新浪、腾讯、人民网的微博平台合计发布微博1773条，总阅读量1600余万次，总粉丝数936万人，与去年底相比增加18万人；新浪新闻发言人微博共发布微博213条。政务微信累计推送最新资讯1778条，回复网友咨询500多人次。订阅用户已突破4.1万人,比年初增加17%。创新创业中关村头条号累计推送最新资讯1280条，订阅用户已达6600人，累计阅读量达179万次。</w:t>
      </w:r>
    </w:p>
    <w:p>
      <w:pPr>
        <w:autoSpaceDE w:val="0"/>
        <w:autoSpaceDN w:val="0"/>
        <w:adjustRightInd w:val="0"/>
        <w:spacing w:line="560" w:lineRule="exact"/>
        <w:ind w:firstLine="596" w:firstLineChars="200"/>
        <w:rPr>
          <w:rFonts w:ascii="楷体_GB2312" w:eastAsia="楷体_GB2312"/>
          <w:sz w:val="32"/>
          <w:szCs w:val="32"/>
        </w:rPr>
      </w:pPr>
      <w:r>
        <w:rPr>
          <w:rFonts w:hint="eastAsia" w:ascii="楷体_GB2312" w:eastAsia="楷体_GB2312"/>
          <w:sz w:val="32"/>
          <w:szCs w:val="32"/>
        </w:rPr>
        <w:t>（二）回应解读情况</w:t>
      </w:r>
    </w:p>
    <w:p>
      <w:pPr>
        <w:spacing w:line="560" w:lineRule="exact"/>
        <w:ind w:firstLine="600"/>
        <w:rPr>
          <w:rFonts w:ascii="仿宋_GB2312" w:eastAsia="仿宋_GB2312"/>
          <w:sz w:val="32"/>
          <w:szCs w:val="32"/>
        </w:rPr>
      </w:pPr>
      <w:r>
        <w:rPr>
          <w:rFonts w:hint="eastAsia" w:ascii="仿宋_GB2312" w:eastAsia="仿宋_GB2312"/>
          <w:sz w:val="32"/>
          <w:szCs w:val="32"/>
        </w:rPr>
        <w:t>2017年，围绕媒体关于全球大势、国家大局、前沿技术及中关村发展情况等组织媒体宣传报道。分别在“一带一路”国际合作高峰论坛、中国北京国际科技产业博览会、2017年全国大众创业万众创新活动周、中国共产党第十九次全国代表大会期间，组织新华社、北京日报、北京晚报、中国青年报等多家媒体记者深入中关村企业采访，发表系列宣传报道200余篇。参加或举办新闻发布会共3次（主要负责同志参加新闻发布会1次）。政策解读稿件发布23篇；微博微信回应事件数4次。</w:t>
      </w:r>
    </w:p>
    <w:p>
      <w:pPr>
        <w:spacing w:line="560" w:lineRule="exact"/>
        <w:ind w:firstLine="600"/>
        <w:rPr>
          <w:rFonts w:ascii="仿宋_GB2312" w:eastAsia="仿宋_GB2312"/>
          <w:sz w:val="32"/>
          <w:szCs w:val="32"/>
        </w:rPr>
      </w:pPr>
      <w:r>
        <w:rPr>
          <w:rFonts w:hint="eastAsia" w:ascii="仿宋_GB2312" w:eastAsia="仿宋_GB2312"/>
          <w:sz w:val="32"/>
          <w:szCs w:val="32"/>
        </w:rPr>
        <w:drawing>
          <wp:anchor distT="0" distB="0" distL="114300" distR="114300" simplePos="0" relativeHeight="251668480" behindDoc="0" locked="0" layoutInCell="1" allowOverlap="1">
            <wp:simplePos x="0" y="0"/>
            <wp:positionH relativeFrom="column">
              <wp:posOffset>-43815</wp:posOffset>
            </wp:positionH>
            <wp:positionV relativeFrom="paragraph">
              <wp:posOffset>4445</wp:posOffset>
            </wp:positionV>
            <wp:extent cx="3990975" cy="2676525"/>
            <wp:effectExtent l="19050" t="0" r="9525" b="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20" cstate="print"/>
                    <a:srcRect l="17526" t="9890" r="15292" b="18132"/>
                    <a:stretch>
                      <a:fillRect/>
                    </a:stretch>
                  </pic:blipFill>
                  <pic:spPr>
                    <a:xfrm>
                      <a:off x="0" y="0"/>
                      <a:ext cx="3990975" cy="2676525"/>
                    </a:xfrm>
                    <a:prstGeom prst="rect">
                      <a:avLst/>
                    </a:prstGeom>
                    <a:noFill/>
                    <a:ln w="9525">
                      <a:noFill/>
                      <a:miter lim="800000"/>
                      <a:headEnd/>
                      <a:tailEnd/>
                    </a:ln>
                  </pic:spPr>
                </pic:pic>
              </a:graphicData>
            </a:graphic>
          </wp:anchor>
        </w:drawing>
      </w:r>
    </w:p>
    <w:p>
      <w:pPr>
        <w:spacing w:line="560" w:lineRule="exact"/>
        <w:ind w:firstLine="600"/>
        <w:rPr>
          <w:rFonts w:ascii="仿宋_GB2312" w:eastAsia="仿宋_GB2312"/>
          <w:sz w:val="32"/>
          <w:szCs w:val="32"/>
        </w:rPr>
      </w:pPr>
    </w:p>
    <w:p>
      <w:pPr>
        <w:spacing w:line="560" w:lineRule="exact"/>
        <w:ind w:firstLine="600"/>
        <w:rPr>
          <w:rFonts w:ascii="仿宋_GB2312" w:eastAsia="仿宋_GB2312"/>
          <w:sz w:val="32"/>
          <w:szCs w:val="32"/>
        </w:rPr>
      </w:pPr>
      <w:r>
        <w:rPr>
          <w:rFonts w:ascii="仿宋_GB2312" w:eastAsia="仿宋_GB2312"/>
          <w:sz w:val="32"/>
          <w:szCs w:val="32"/>
        </w:rPr>
        <w:drawing>
          <wp:anchor distT="0" distB="0" distL="114300" distR="114300" simplePos="0" relativeHeight="251669504" behindDoc="0" locked="0" layoutInCell="1" allowOverlap="1">
            <wp:simplePos x="0" y="0"/>
            <wp:positionH relativeFrom="column">
              <wp:posOffset>2499360</wp:posOffset>
            </wp:positionH>
            <wp:positionV relativeFrom="paragraph">
              <wp:posOffset>340995</wp:posOffset>
            </wp:positionV>
            <wp:extent cx="3543300" cy="2371725"/>
            <wp:effectExtent l="19050" t="0" r="0" b="0"/>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1" cstate="print"/>
                    <a:srcRect l="17010" t="11538" r="18041" b="18955"/>
                    <a:stretch>
                      <a:fillRect/>
                    </a:stretch>
                  </pic:blipFill>
                  <pic:spPr>
                    <a:xfrm>
                      <a:off x="0" y="0"/>
                      <a:ext cx="3543300" cy="2371725"/>
                    </a:xfrm>
                    <a:prstGeom prst="rect">
                      <a:avLst/>
                    </a:prstGeom>
                    <a:noFill/>
                    <a:ln w="9525">
                      <a:noFill/>
                      <a:miter lim="800000"/>
                      <a:headEnd/>
                      <a:tailEnd/>
                    </a:ln>
                  </pic:spPr>
                </pic:pic>
              </a:graphicData>
            </a:graphic>
          </wp:anchor>
        </w:drawing>
      </w:r>
    </w:p>
    <w:p>
      <w:pPr>
        <w:spacing w:line="560" w:lineRule="exact"/>
        <w:ind w:firstLine="600"/>
        <w:rPr>
          <w:rFonts w:ascii="仿宋_GB2312" w:eastAsia="仿宋_GB2312"/>
          <w:sz w:val="32"/>
          <w:szCs w:val="32"/>
        </w:rPr>
      </w:pPr>
    </w:p>
    <w:p>
      <w:pPr>
        <w:spacing w:line="560" w:lineRule="exact"/>
        <w:ind w:firstLine="600"/>
        <w:rPr>
          <w:rFonts w:ascii="仿宋_GB2312" w:eastAsia="仿宋_GB2312"/>
          <w:sz w:val="32"/>
          <w:szCs w:val="32"/>
        </w:rPr>
      </w:pPr>
    </w:p>
    <w:p>
      <w:pPr>
        <w:spacing w:line="560" w:lineRule="exact"/>
        <w:ind w:firstLine="600"/>
        <w:rPr>
          <w:rFonts w:ascii="仿宋_GB2312" w:eastAsia="仿宋_GB2312"/>
          <w:sz w:val="32"/>
          <w:szCs w:val="32"/>
        </w:rPr>
      </w:pPr>
    </w:p>
    <w:p>
      <w:pPr>
        <w:spacing w:line="560" w:lineRule="exact"/>
        <w:ind w:firstLine="600"/>
        <w:rPr>
          <w:rFonts w:ascii="仿宋_GB2312" w:eastAsia="仿宋_GB2312"/>
          <w:sz w:val="32"/>
          <w:szCs w:val="32"/>
        </w:rPr>
      </w:pPr>
    </w:p>
    <w:p>
      <w:pPr>
        <w:spacing w:line="560" w:lineRule="exact"/>
        <w:ind w:firstLine="600"/>
        <w:rPr>
          <w:rFonts w:ascii="仿宋_GB2312" w:eastAsia="仿宋_GB2312"/>
          <w:sz w:val="32"/>
          <w:szCs w:val="32"/>
        </w:rPr>
      </w:pPr>
    </w:p>
    <w:p>
      <w:pPr>
        <w:spacing w:line="560" w:lineRule="exact"/>
        <w:ind w:firstLine="600"/>
        <w:rPr>
          <w:rFonts w:ascii="仿宋_GB2312" w:eastAsia="仿宋_GB2312"/>
          <w:sz w:val="32"/>
          <w:szCs w:val="32"/>
        </w:rPr>
      </w:pPr>
    </w:p>
    <w:p>
      <w:pPr>
        <w:autoSpaceDE w:val="0"/>
        <w:autoSpaceDN w:val="0"/>
        <w:adjustRightInd w:val="0"/>
        <w:spacing w:line="560" w:lineRule="exact"/>
        <w:ind w:firstLine="596" w:firstLineChars="200"/>
        <w:rPr>
          <w:rFonts w:ascii="楷体_GB2312" w:eastAsia="楷体_GB2312"/>
          <w:sz w:val="32"/>
          <w:szCs w:val="32"/>
        </w:rPr>
      </w:pPr>
      <w:r>
        <w:rPr>
          <w:rFonts w:hint="eastAsia" w:ascii="楷体_GB2312" w:eastAsia="楷体_GB2312"/>
          <w:sz w:val="32"/>
          <w:szCs w:val="32"/>
        </w:rPr>
        <w:t>（三）依申请公开情况</w:t>
      </w:r>
    </w:p>
    <w:p>
      <w:pPr>
        <w:autoSpaceDE w:val="0"/>
        <w:autoSpaceDN w:val="0"/>
        <w:adjustRightInd w:val="0"/>
        <w:spacing w:line="560" w:lineRule="exact"/>
        <w:ind w:firstLine="548" w:firstLineChars="200"/>
        <w:rPr>
          <w:rFonts w:ascii="仿宋_GB2312" w:eastAsia="仿宋_GB2312"/>
          <w:sz w:val="32"/>
          <w:szCs w:val="32"/>
        </w:rPr>
      </w:pPr>
      <w:r>
        <w:rPr>
          <w:rFonts w:ascii="仿宋_GB2312" w:eastAsia="仿宋_GB2312"/>
          <w:spacing w:val="-12"/>
          <w:sz w:val="32"/>
          <w:szCs w:val="32"/>
        </w:rPr>
        <w:t>201</w:t>
      </w:r>
      <w:r>
        <w:rPr>
          <w:rFonts w:hint="eastAsia" w:ascii="仿宋_GB2312" w:eastAsia="仿宋_GB2312"/>
          <w:spacing w:val="-12"/>
          <w:sz w:val="32"/>
          <w:szCs w:val="32"/>
        </w:rPr>
        <w:t>7</w:t>
      </w:r>
      <w:r>
        <w:rPr>
          <w:rFonts w:ascii="仿宋_GB2312" w:eastAsia="仿宋_GB2312"/>
          <w:spacing w:val="-12"/>
          <w:sz w:val="32"/>
          <w:szCs w:val="32"/>
        </w:rPr>
        <w:t>年，收到</w:t>
      </w:r>
      <w:r>
        <w:rPr>
          <w:rFonts w:hint="eastAsia" w:ascii="仿宋_GB2312" w:eastAsia="仿宋_GB2312"/>
          <w:sz w:val="32"/>
          <w:szCs w:val="32"/>
        </w:rPr>
        <w:t>申请9件，其中信函形式申请2件，网络申请7件。均已按相关规定在答复期内对申请人公开，主动向申请人说明法律依据及救济渠道，未收取信息公开检索、复制、邮寄等费用。</w:t>
      </w:r>
    </w:p>
    <w:p>
      <w:pPr>
        <w:autoSpaceDE w:val="0"/>
        <w:autoSpaceDN w:val="0"/>
        <w:adjustRightInd w:val="0"/>
        <w:spacing w:line="560" w:lineRule="exact"/>
        <w:ind w:firstLine="596" w:firstLineChars="200"/>
        <w:rPr>
          <w:rFonts w:ascii="楷体_GB2312" w:eastAsia="楷体_GB2312"/>
          <w:sz w:val="32"/>
          <w:szCs w:val="32"/>
        </w:rPr>
      </w:pPr>
      <w:r>
        <w:rPr>
          <w:rFonts w:hint="eastAsia" w:ascii="楷体_GB2312" w:eastAsia="楷体_GB2312"/>
          <w:sz w:val="32"/>
          <w:szCs w:val="32"/>
        </w:rPr>
        <w:t>（四）行政复议、诉讼情况</w:t>
      </w:r>
    </w:p>
    <w:p>
      <w:pPr>
        <w:autoSpaceDE w:val="0"/>
        <w:autoSpaceDN w:val="0"/>
        <w:adjustRightInd w:val="0"/>
        <w:spacing w:line="560" w:lineRule="exact"/>
        <w:ind w:firstLine="596"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2017年，未发生针对我委政府信息公开的行政复议申请和行政诉讼。</w:t>
      </w:r>
    </w:p>
    <w:p>
      <w:pPr>
        <w:autoSpaceDE w:val="0"/>
        <w:autoSpaceDN w:val="0"/>
        <w:adjustRightInd w:val="0"/>
        <w:spacing w:line="560" w:lineRule="exact"/>
        <w:ind w:firstLine="596" w:firstLineChars="200"/>
        <w:rPr>
          <w:rFonts w:ascii="黑体" w:hAnsi="仿宋" w:eastAsia="黑体"/>
          <w:sz w:val="32"/>
          <w:szCs w:val="32"/>
        </w:rPr>
      </w:pPr>
      <w:r>
        <w:rPr>
          <w:rFonts w:hint="eastAsia" w:ascii="黑体" w:hAnsi="仿宋" w:eastAsia="黑体"/>
          <w:sz w:val="32"/>
          <w:szCs w:val="32"/>
        </w:rPr>
        <w:t>三、存在的不足及下一步重点工作</w:t>
      </w:r>
    </w:p>
    <w:p>
      <w:pPr>
        <w:autoSpaceDE w:val="0"/>
        <w:autoSpaceDN w:val="0"/>
        <w:adjustRightInd w:val="0"/>
        <w:spacing w:line="560" w:lineRule="exact"/>
        <w:ind w:firstLine="596" w:firstLineChars="200"/>
        <w:rPr>
          <w:rFonts w:ascii="仿宋_GB2312" w:eastAsia="仿宋_GB2312"/>
          <w:sz w:val="32"/>
          <w:szCs w:val="32"/>
        </w:rPr>
      </w:pPr>
      <w:r>
        <w:rPr>
          <w:rFonts w:hint="eastAsia" w:ascii="仿宋_GB2312" w:eastAsia="仿宋_GB2312"/>
          <w:sz w:val="32"/>
          <w:szCs w:val="32"/>
        </w:rPr>
        <w:t>一是完善政府信息和政务公开工作相关制度，需适应新时代发展要求，应从“标准规范”向“精准服务”转化，对接公众需求，提供公开服务。二是</w:t>
      </w:r>
      <w:r>
        <w:rPr>
          <w:rFonts w:ascii="仿宋_GB2312" w:eastAsia="仿宋_GB2312"/>
          <w:sz w:val="32"/>
          <w:szCs w:val="32"/>
        </w:rPr>
        <w:t>主动公开政府信息</w:t>
      </w:r>
      <w:r>
        <w:rPr>
          <w:rFonts w:hint="eastAsia" w:ascii="仿宋_GB2312" w:eastAsia="仿宋_GB2312"/>
          <w:sz w:val="32"/>
          <w:szCs w:val="32"/>
        </w:rPr>
        <w:t>和政务信息的</w:t>
      </w:r>
      <w:r>
        <w:rPr>
          <w:rFonts w:ascii="仿宋_GB2312" w:eastAsia="仿宋_GB2312"/>
          <w:sz w:val="32"/>
          <w:szCs w:val="32"/>
        </w:rPr>
        <w:t>内容</w:t>
      </w:r>
      <w:r>
        <w:rPr>
          <w:rFonts w:hint="eastAsia" w:ascii="仿宋_GB2312" w:eastAsia="仿宋_GB2312"/>
          <w:sz w:val="32"/>
          <w:szCs w:val="32"/>
        </w:rPr>
        <w:t>在“应公开，尽公开”基础上，仍需进一步深化拓展，提升公开实效</w:t>
      </w:r>
      <w:r>
        <w:rPr>
          <w:rFonts w:ascii="仿宋_GB2312" w:eastAsia="仿宋_GB2312"/>
          <w:sz w:val="32"/>
          <w:szCs w:val="32"/>
        </w:rPr>
        <w:t>。</w:t>
      </w:r>
      <w:r>
        <w:rPr>
          <w:rFonts w:hint="eastAsia" w:ascii="仿宋_GB2312" w:eastAsia="仿宋_GB2312"/>
          <w:sz w:val="32"/>
          <w:szCs w:val="32"/>
        </w:rPr>
        <w:t>三是政府信息和政务公开</w:t>
      </w:r>
      <w:r>
        <w:rPr>
          <w:rFonts w:hint="eastAsia" w:ascii="仿宋_GB2312" w:hAnsi="宋体" w:eastAsia="仿宋_GB2312" w:cs="宋体"/>
          <w:color w:val="000000"/>
          <w:kern w:val="0"/>
          <w:sz w:val="32"/>
          <w:szCs w:val="32"/>
        </w:rPr>
        <w:t>教育培训工作有待加强</w:t>
      </w:r>
      <w:r>
        <w:rPr>
          <w:rFonts w:hint="eastAsia" w:ascii="仿宋_GB2312" w:eastAsia="仿宋_GB2312"/>
          <w:sz w:val="32"/>
          <w:szCs w:val="32"/>
        </w:rPr>
        <w:t>。</w:t>
      </w:r>
    </w:p>
    <w:p>
      <w:pPr>
        <w:autoSpaceDE w:val="0"/>
        <w:autoSpaceDN w:val="0"/>
        <w:adjustRightInd w:val="0"/>
        <w:spacing w:line="560" w:lineRule="exact"/>
        <w:ind w:firstLine="596" w:firstLineChars="200"/>
        <w:rPr>
          <w:rFonts w:ascii="仿宋_GB2312" w:eastAsia="仿宋_GB2312"/>
          <w:sz w:val="32"/>
          <w:szCs w:val="32"/>
        </w:rPr>
      </w:pPr>
      <w:r>
        <w:rPr>
          <w:rFonts w:hint="eastAsia" w:ascii="仿宋_GB2312" w:eastAsia="仿宋_GB2312"/>
          <w:sz w:val="32"/>
          <w:szCs w:val="32"/>
        </w:rPr>
        <w:t>2018年，我委将在以下方面做好政府信息和政务公开工作。一是加强信息公开与政策解读，通过政策宣讲和新媒体等渠道，积极开展多种形式、内容丰富的政策解读。二是继续拓展优化政民互动平台。畅通公众需求评价、意见建议的反映和表达通道，不断增强政府回应社会关切的针对性和有效性。三是加强教育培训，以业务研究带动队伍建设</w:t>
      </w:r>
      <w:r>
        <w:rPr>
          <w:rFonts w:hint="eastAsia" w:ascii="仿宋_GB2312" w:hAnsi="楷体" w:eastAsia="仿宋_GB2312"/>
          <w:sz w:val="32"/>
          <w:szCs w:val="32"/>
        </w:rPr>
        <w:t>，</w:t>
      </w:r>
      <w:r>
        <w:rPr>
          <w:rFonts w:hint="eastAsia" w:ascii="仿宋_GB2312" w:eastAsia="仿宋_GB2312"/>
          <w:sz w:val="32"/>
          <w:szCs w:val="32"/>
        </w:rPr>
        <w:t>确保依法依规开展工作。</w:t>
      </w:r>
    </w:p>
    <w:p>
      <w:pPr>
        <w:widowControl/>
        <w:adjustRightInd w:val="0"/>
        <w:snapToGrid w:val="0"/>
        <w:spacing w:line="560" w:lineRule="exact"/>
        <w:ind w:firstLine="596" w:firstLineChars="200"/>
        <w:outlineLvl w:val="0"/>
        <w:rPr>
          <w:rFonts w:ascii="仿宋_GB2312" w:eastAsia="仿宋_GB2312"/>
          <w:sz w:val="32"/>
          <w:szCs w:val="32"/>
        </w:rPr>
      </w:pPr>
    </w:p>
    <w:p>
      <w:pPr>
        <w:widowControl/>
        <w:adjustRightInd w:val="0"/>
        <w:snapToGrid w:val="0"/>
        <w:spacing w:line="560" w:lineRule="exact"/>
        <w:rPr>
          <w:rFonts w:ascii="楷体_GB2312" w:hAnsi="华文中宋" w:eastAsia="楷体_GB2312"/>
          <w:kern w:val="0"/>
          <w:sz w:val="32"/>
          <w:szCs w:val="32"/>
        </w:rPr>
      </w:pPr>
      <w:r>
        <w:rPr>
          <w:rFonts w:hint="eastAsia" w:ascii="楷体_GB2312" w:hAnsi="华文中宋" w:eastAsia="楷体_GB2312"/>
          <w:kern w:val="0"/>
          <w:sz w:val="32"/>
          <w:szCs w:val="32"/>
        </w:rPr>
        <w:t xml:space="preserve">                </w:t>
      </w:r>
    </w:p>
    <w:p>
      <w:pPr>
        <w:widowControl/>
        <w:adjustRightInd w:val="0"/>
        <w:snapToGrid w:val="0"/>
        <w:spacing w:line="560" w:lineRule="exact"/>
        <w:rPr>
          <w:rFonts w:ascii="楷体_GB2312" w:hAnsi="华文中宋" w:eastAsia="楷体_GB2312"/>
          <w:kern w:val="0"/>
          <w:sz w:val="32"/>
          <w:szCs w:val="32"/>
        </w:rPr>
      </w:pPr>
    </w:p>
    <w:p>
      <w:pPr>
        <w:widowControl/>
        <w:adjustRightInd w:val="0"/>
        <w:snapToGrid w:val="0"/>
        <w:spacing w:line="560" w:lineRule="exact"/>
        <w:ind w:firstLine="4172" w:firstLineChars="1400"/>
        <w:rPr>
          <w:rFonts w:ascii="楷体_GB2312" w:hAnsi="华文中宋" w:eastAsia="楷体_GB2312"/>
          <w:kern w:val="0"/>
          <w:sz w:val="32"/>
          <w:szCs w:val="32"/>
        </w:rPr>
      </w:pPr>
      <w:r>
        <w:rPr>
          <w:rFonts w:hint="eastAsia" w:ascii="楷体_GB2312" w:hAnsi="华文中宋" w:eastAsia="楷体_GB2312"/>
          <w:kern w:val="0"/>
          <w:sz w:val="32"/>
          <w:szCs w:val="32"/>
        </w:rPr>
        <w:t xml:space="preserve">   </w:t>
      </w:r>
      <w:r>
        <w:rPr>
          <w:rFonts w:hint="eastAsia" w:ascii="仿宋_GB2312" w:eastAsia="仿宋_GB2312"/>
          <w:sz w:val="32"/>
          <w:szCs w:val="32"/>
        </w:rPr>
        <w:t>中关村科技园区管理委员会</w:t>
      </w:r>
    </w:p>
    <w:p>
      <w:pPr>
        <w:widowControl/>
        <w:adjustRightInd w:val="0"/>
        <w:snapToGrid w:val="0"/>
        <w:spacing w:line="560" w:lineRule="exact"/>
        <w:ind w:right="592"/>
        <w:rPr>
          <w:rFonts w:ascii="仿宋_GB2312" w:hAnsi="华文中宋" w:eastAsia="仿宋_GB2312"/>
          <w:kern w:val="0"/>
          <w:sz w:val="32"/>
          <w:szCs w:val="32"/>
        </w:rPr>
      </w:pPr>
      <w:r>
        <w:rPr>
          <w:rFonts w:hint="eastAsia" w:ascii="仿宋_GB2312" w:eastAsia="仿宋_GB2312"/>
          <w:sz w:val="32"/>
          <w:szCs w:val="32"/>
        </w:rPr>
        <w:t xml:space="preserve">                                      </w:t>
      </w:r>
      <w:r>
        <w:rPr>
          <w:rFonts w:hint="eastAsia" w:ascii="仿宋_GB2312" w:hAnsi="华文中宋" w:eastAsia="仿宋_GB2312"/>
          <w:kern w:val="0"/>
          <w:sz w:val="32"/>
          <w:szCs w:val="32"/>
        </w:rPr>
        <w:t>2018年3月</w:t>
      </w:r>
    </w:p>
    <w:p>
      <w:pPr>
        <w:widowControl/>
        <w:adjustRightInd w:val="0"/>
        <w:snapToGrid w:val="0"/>
        <w:spacing w:line="560" w:lineRule="exact"/>
        <w:ind w:right="592"/>
        <w:jc w:val="center"/>
        <w:rPr>
          <w:rFonts w:ascii="仿宋_GB2312" w:hAnsi="华文中宋" w:eastAsia="仿宋_GB2312"/>
          <w:kern w:val="0"/>
          <w:sz w:val="32"/>
          <w:szCs w:val="32"/>
        </w:rPr>
      </w:pPr>
    </w:p>
    <w:p>
      <w:pPr>
        <w:widowControl/>
        <w:adjustRightInd w:val="0"/>
        <w:snapToGrid w:val="0"/>
        <w:spacing w:line="560" w:lineRule="exact"/>
        <w:ind w:right="592"/>
        <w:jc w:val="center"/>
        <w:rPr>
          <w:rFonts w:ascii="仿宋_GB2312" w:hAnsi="华文中宋" w:eastAsia="仿宋_GB2312"/>
          <w:kern w:val="0"/>
          <w:sz w:val="32"/>
          <w:szCs w:val="32"/>
        </w:rPr>
      </w:pPr>
    </w:p>
    <w:p>
      <w:pPr>
        <w:widowControl/>
        <w:adjustRightInd w:val="0"/>
        <w:snapToGrid w:val="0"/>
        <w:spacing w:line="560" w:lineRule="exact"/>
        <w:ind w:right="592"/>
        <w:jc w:val="center"/>
        <w:rPr>
          <w:rFonts w:ascii="仿宋_GB2312" w:hAnsi="华文中宋" w:eastAsia="仿宋_GB2312"/>
          <w:kern w:val="0"/>
          <w:sz w:val="32"/>
          <w:szCs w:val="32"/>
        </w:rPr>
      </w:pPr>
    </w:p>
    <w:p>
      <w:pPr>
        <w:spacing w:line="560" w:lineRule="exact"/>
        <w:rPr>
          <w:rFonts w:ascii="黑体" w:hAnsi="仿宋_GB2312" w:eastAsia="黑体"/>
          <w:color w:val="000000"/>
          <w:sz w:val="32"/>
          <w:szCs w:val="32"/>
        </w:rPr>
      </w:pPr>
      <w:r>
        <w:rPr>
          <w:rFonts w:hint="eastAsia" w:ascii="黑体" w:eastAsia="黑体" w:cs="仿宋_GB2312"/>
          <w:sz w:val="32"/>
          <w:szCs w:val="32"/>
        </w:rPr>
        <w:t>附表：</w:t>
      </w:r>
    </w:p>
    <w:tbl>
      <w:tblPr>
        <w:tblStyle w:val="6"/>
        <w:tblW w:w="9555" w:type="dxa"/>
        <w:jc w:val="center"/>
        <w:tblLayout w:type="autofit"/>
        <w:tblCellMar>
          <w:top w:w="0" w:type="dxa"/>
          <w:left w:w="108" w:type="dxa"/>
          <w:bottom w:w="0" w:type="dxa"/>
          <w:right w:w="108" w:type="dxa"/>
        </w:tblCellMar>
      </w:tblPr>
      <w:tblGrid>
        <w:gridCol w:w="7755"/>
        <w:gridCol w:w="720"/>
        <w:gridCol w:w="1080"/>
      </w:tblGrid>
      <w:tr>
        <w:tblPrEx>
          <w:tblCellMar>
            <w:top w:w="0" w:type="dxa"/>
            <w:left w:w="108" w:type="dxa"/>
            <w:bottom w:w="0" w:type="dxa"/>
            <w:right w:w="108" w:type="dxa"/>
          </w:tblCellMar>
        </w:tblPrEx>
        <w:trPr>
          <w:trHeight w:val="540" w:hRule="atLeast"/>
          <w:jc w:val="center"/>
        </w:trPr>
        <w:tc>
          <w:tcPr>
            <w:tcW w:w="9555" w:type="dxa"/>
            <w:gridSpan w:val="3"/>
            <w:tcBorders>
              <w:top w:val="nil"/>
              <w:left w:val="nil"/>
              <w:bottom w:val="nil"/>
              <w:right w:val="nil"/>
            </w:tcBorders>
            <w:shd w:val="clear" w:color="FFFFFF" w:fill="auto"/>
            <w:noWrap/>
            <w:vAlign w:val="center"/>
          </w:tcPr>
          <w:p>
            <w:pPr>
              <w:widowControl/>
              <w:jc w:val="center"/>
              <w:rPr>
                <w:rFonts w:ascii="方正小标宋简体" w:hAnsi="宋体" w:eastAsia="方正小标宋简体" w:cs="宋体"/>
                <w:color w:val="000000"/>
                <w:kern w:val="0"/>
                <w:sz w:val="44"/>
                <w:szCs w:val="44"/>
              </w:rPr>
            </w:pPr>
            <w:r>
              <w:rPr>
                <w:rFonts w:hint="eastAsia" w:ascii="方正小标宋简体" w:hAnsi="宋体" w:eastAsia="方正小标宋简体" w:cs="宋体"/>
                <w:color w:val="000000"/>
                <w:kern w:val="0"/>
                <w:sz w:val="44"/>
                <w:szCs w:val="44"/>
              </w:rPr>
              <w:t>政府信息公开情况统计表</w:t>
            </w:r>
          </w:p>
        </w:tc>
      </w:tr>
      <w:tr>
        <w:tblPrEx>
          <w:tblCellMar>
            <w:top w:w="0" w:type="dxa"/>
            <w:left w:w="108" w:type="dxa"/>
            <w:bottom w:w="0" w:type="dxa"/>
            <w:right w:w="108" w:type="dxa"/>
          </w:tblCellMar>
        </w:tblPrEx>
        <w:trPr>
          <w:trHeight w:val="285" w:hRule="atLeast"/>
          <w:jc w:val="center"/>
        </w:trPr>
        <w:tc>
          <w:tcPr>
            <w:tcW w:w="9555" w:type="dxa"/>
            <w:gridSpan w:val="3"/>
            <w:tcBorders>
              <w:top w:val="nil"/>
              <w:left w:val="nil"/>
              <w:bottom w:val="nil"/>
              <w:right w:val="nil"/>
            </w:tcBorders>
            <w:shd w:val="clear" w:color="FFFFFF" w:fill="auto"/>
            <w:noWrap/>
            <w:vAlign w:val="center"/>
          </w:tcPr>
          <w:p>
            <w:pPr>
              <w:widowControl/>
              <w:jc w:val="center"/>
              <w:rPr>
                <w:rFonts w:ascii="楷体_GB2312" w:hAnsi="宋体" w:eastAsia="楷体_GB2312" w:cs="宋体"/>
                <w:kern w:val="0"/>
                <w:sz w:val="32"/>
                <w:szCs w:val="32"/>
              </w:rPr>
            </w:pPr>
            <w:r>
              <w:rPr>
                <w:rFonts w:hint="eastAsia" w:ascii="楷体_GB2312" w:hAnsi="宋体" w:eastAsia="楷体_GB2312" w:cs="宋体"/>
                <w:kern w:val="0"/>
                <w:sz w:val="32"/>
                <w:szCs w:val="32"/>
              </w:rPr>
              <w:t>（2017年度）</w:t>
            </w:r>
          </w:p>
        </w:tc>
      </w:tr>
      <w:tr>
        <w:tblPrEx>
          <w:tblCellMar>
            <w:top w:w="0" w:type="dxa"/>
            <w:left w:w="108" w:type="dxa"/>
            <w:bottom w:w="0" w:type="dxa"/>
            <w:right w:w="108" w:type="dxa"/>
          </w:tblCellMar>
        </w:tblPrEx>
        <w:trPr>
          <w:trHeight w:val="402" w:hRule="atLeast"/>
          <w:jc w:val="center"/>
        </w:trPr>
        <w:tc>
          <w:tcPr>
            <w:tcW w:w="7755" w:type="dxa"/>
            <w:tcBorders>
              <w:top w:val="single" w:color="auto" w:sz="8" w:space="0"/>
              <w:left w:val="single" w:color="auto" w:sz="8" w:space="0"/>
              <w:bottom w:val="single" w:color="auto" w:sz="4" w:space="0"/>
              <w:right w:val="single" w:color="auto" w:sz="4" w:space="0"/>
            </w:tcBorders>
            <w:shd w:val="clear" w:color="auto" w:fill="auto"/>
            <w:noWrap/>
            <w:vAlign w:val="center"/>
          </w:tcPr>
          <w:p>
            <w:pPr>
              <w:widowControl/>
              <w:jc w:val="center"/>
              <w:rPr>
                <w:rFonts w:ascii="黑体" w:hAnsi="宋体" w:eastAsia="黑体" w:cs="宋体"/>
                <w:color w:val="000000"/>
                <w:kern w:val="0"/>
                <w:sz w:val="24"/>
              </w:rPr>
            </w:pPr>
            <w:r>
              <w:rPr>
                <w:rFonts w:hint="eastAsia" w:ascii="黑体" w:hAnsi="宋体" w:eastAsia="黑体" w:cs="宋体"/>
                <w:color w:val="000000"/>
                <w:kern w:val="0"/>
                <w:sz w:val="24"/>
              </w:rPr>
              <w:t>统 计 指 标</w:t>
            </w:r>
          </w:p>
        </w:tc>
        <w:tc>
          <w:tcPr>
            <w:tcW w:w="720" w:type="dxa"/>
            <w:tcBorders>
              <w:top w:val="single" w:color="auto" w:sz="8" w:space="0"/>
              <w:left w:val="nil"/>
              <w:bottom w:val="single" w:color="auto" w:sz="4" w:space="0"/>
              <w:right w:val="single" w:color="auto" w:sz="4" w:space="0"/>
            </w:tcBorders>
            <w:shd w:val="clear" w:color="auto" w:fill="auto"/>
            <w:noWrap/>
            <w:vAlign w:val="center"/>
          </w:tcPr>
          <w:p>
            <w:pPr>
              <w:widowControl/>
              <w:jc w:val="center"/>
              <w:rPr>
                <w:rFonts w:ascii="黑体" w:hAnsi="宋体" w:eastAsia="黑体" w:cs="宋体"/>
                <w:color w:val="000000"/>
                <w:kern w:val="0"/>
                <w:sz w:val="24"/>
              </w:rPr>
            </w:pPr>
            <w:r>
              <w:rPr>
                <w:rFonts w:hint="eastAsia" w:ascii="黑体" w:hAnsi="宋体" w:eastAsia="黑体" w:cs="宋体"/>
                <w:color w:val="000000"/>
                <w:kern w:val="0"/>
                <w:sz w:val="24"/>
              </w:rPr>
              <w:t>单位</w:t>
            </w:r>
          </w:p>
        </w:tc>
        <w:tc>
          <w:tcPr>
            <w:tcW w:w="1080" w:type="dxa"/>
            <w:tcBorders>
              <w:top w:val="single" w:color="auto" w:sz="8" w:space="0"/>
              <w:left w:val="nil"/>
              <w:bottom w:val="single" w:color="auto" w:sz="4" w:space="0"/>
              <w:right w:val="single" w:color="auto" w:sz="8" w:space="0"/>
            </w:tcBorders>
            <w:shd w:val="clear" w:color="auto" w:fill="auto"/>
            <w:noWrap/>
            <w:vAlign w:val="center"/>
          </w:tcPr>
          <w:p>
            <w:pPr>
              <w:widowControl/>
              <w:jc w:val="center"/>
              <w:rPr>
                <w:rFonts w:ascii="黑体" w:hAnsi="宋体" w:eastAsia="黑体" w:cs="宋体"/>
                <w:color w:val="000000"/>
                <w:kern w:val="0"/>
                <w:sz w:val="24"/>
              </w:rPr>
            </w:pPr>
            <w:r>
              <w:rPr>
                <w:rFonts w:hint="eastAsia" w:ascii="黑体" w:hAnsi="宋体" w:eastAsia="黑体" w:cs="宋体"/>
                <w:color w:val="000000"/>
                <w:kern w:val="0"/>
                <w:sz w:val="24"/>
              </w:rPr>
              <w:t>统计数</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一、主动公开情况</w:t>
            </w:r>
          </w:p>
        </w:tc>
        <w:tc>
          <w:tcPr>
            <w:tcW w:w="720" w:type="dxa"/>
            <w:tcBorders>
              <w:top w:val="nil"/>
              <w:left w:val="nil"/>
              <w:bottom w:val="single" w:color="auto" w:sz="4" w:space="0"/>
              <w:right w:val="single" w:color="auto" w:sz="4" w:space="0"/>
              <w:tr2bl w:val="single" w:color="auto" w:sz="4" w:space="0"/>
            </w:tcBorders>
            <w:shd w:val="clear" w:color="auto" w:fill="auto"/>
            <w:noWrap/>
            <w:vAlign w:val="center"/>
          </w:tcPr>
          <w:p>
            <w:pPr>
              <w:widowControl/>
              <w:jc w:val="center"/>
              <w:rPr>
                <w:rFonts w:ascii="宋体" w:hAnsi="宋体" w:cs="宋体"/>
                <w:color w:val="000000"/>
                <w:kern w:val="0"/>
                <w:sz w:val="24"/>
              </w:rPr>
            </w:pP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660" w:hRule="atLeast"/>
          <w:jc w:val="center"/>
        </w:trPr>
        <w:tc>
          <w:tcPr>
            <w:tcW w:w="7755" w:type="dxa"/>
            <w:tcBorders>
              <w:top w:val="nil"/>
              <w:left w:val="single" w:color="auto" w:sz="8" w:space="0"/>
              <w:bottom w:val="single" w:color="auto" w:sz="4" w:space="0"/>
              <w:right w:val="single" w:color="auto" w:sz="4" w:space="0"/>
            </w:tcBorders>
            <w:shd w:val="clear" w:color="auto" w:fill="auto"/>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（一）主动公开政府信息数</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 xml:space="preserve">       （不同渠道和方式公开相同信息计1条）</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1812</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其中：主动公开规范性文件数</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12</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nil"/>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制发规范性文件总数</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12</w:t>
            </w:r>
          </w:p>
        </w:tc>
      </w:tr>
      <w:tr>
        <w:tblPrEx>
          <w:tblCellMar>
            <w:top w:w="0" w:type="dxa"/>
            <w:left w:w="108" w:type="dxa"/>
            <w:bottom w:w="0" w:type="dxa"/>
            <w:right w:w="108" w:type="dxa"/>
          </w:tblCellMar>
        </w:tblPrEx>
        <w:trPr>
          <w:trHeight w:val="660" w:hRule="atLeast"/>
          <w:jc w:val="center"/>
        </w:trPr>
        <w:tc>
          <w:tcPr>
            <w:tcW w:w="7755" w:type="dxa"/>
            <w:tcBorders>
              <w:top w:val="single" w:color="auto" w:sz="4" w:space="0"/>
              <w:left w:val="single" w:color="auto" w:sz="8" w:space="0"/>
              <w:bottom w:val="single" w:color="auto" w:sz="4" w:space="0"/>
              <w:right w:val="single" w:color="auto" w:sz="4" w:space="0"/>
            </w:tcBorders>
            <w:shd w:val="clear" w:color="auto" w:fill="auto"/>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（二）重点领域公开政府信息数</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 xml:space="preserve">       （不同渠道和方式公开相同信息计1条）</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323</w:t>
            </w:r>
          </w:p>
        </w:tc>
      </w:tr>
      <w:tr>
        <w:tblPrEx>
          <w:tblCellMar>
            <w:top w:w="0" w:type="dxa"/>
            <w:left w:w="108" w:type="dxa"/>
            <w:bottom w:w="0" w:type="dxa"/>
            <w:right w:w="108" w:type="dxa"/>
          </w:tblCellMar>
        </w:tblPrEx>
        <w:trPr>
          <w:trHeight w:val="600"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60" w:lineRule="exact"/>
              <w:ind w:left="1519" w:hanging="1526" w:hangingChars="700"/>
              <w:rPr>
                <w:rFonts w:ascii="仿宋_GB2312" w:hAnsi="宋体" w:eastAsia="仿宋_GB2312" w:cs="宋体"/>
                <w:kern w:val="0"/>
                <w:sz w:val="24"/>
              </w:rPr>
            </w:pPr>
            <w:r>
              <w:rPr>
                <w:rFonts w:hint="eastAsia" w:ascii="仿宋_GB2312" w:hAnsi="宋体" w:eastAsia="仿宋_GB2312" w:cs="宋体"/>
                <w:kern w:val="0"/>
                <w:sz w:val="24"/>
              </w:rPr>
              <w:t xml:space="preserve">        其中：主动公开财政预算决算、“三公经费”和行政经费信息数</w:t>
            </w:r>
          </w:p>
        </w:tc>
        <w:tc>
          <w:tcPr>
            <w:tcW w:w="720" w:type="dxa"/>
            <w:tcBorders>
              <w:top w:val="nil"/>
              <w:left w:val="single" w:color="auto" w:sz="4" w:space="0"/>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2</w:t>
            </w:r>
          </w:p>
        </w:tc>
      </w:tr>
      <w:tr>
        <w:tblPrEx>
          <w:tblCellMar>
            <w:top w:w="0" w:type="dxa"/>
            <w:left w:w="108" w:type="dxa"/>
            <w:bottom w:w="0" w:type="dxa"/>
            <w:right w:w="108" w:type="dxa"/>
          </w:tblCellMar>
        </w:tblPrEx>
        <w:trPr>
          <w:trHeight w:val="645"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60" w:lineRule="exact"/>
              <w:ind w:left="1519" w:hanging="1526"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主动公开保障性安居工程建设计划、项目开工和竣工情况，保障性住房的分配和退出等信息数</w:t>
            </w:r>
          </w:p>
        </w:tc>
        <w:tc>
          <w:tcPr>
            <w:tcW w:w="720" w:type="dxa"/>
            <w:tcBorders>
              <w:top w:val="nil"/>
              <w:left w:val="single" w:color="auto" w:sz="4" w:space="0"/>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570"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60" w:lineRule="exact"/>
              <w:ind w:left="1519" w:hanging="1526"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主动公开食品安全标准，食品生产经营许可、专项检查整治等信息数</w:t>
            </w:r>
          </w:p>
        </w:tc>
        <w:tc>
          <w:tcPr>
            <w:tcW w:w="720" w:type="dxa"/>
            <w:tcBorders>
              <w:top w:val="nil"/>
              <w:left w:val="single" w:color="auto" w:sz="4" w:space="0"/>
              <w:bottom w:val="single" w:color="auto" w:sz="4" w:space="0"/>
              <w:right w:val="single" w:color="auto" w:sz="4" w:space="0"/>
            </w:tcBorders>
            <w:shd w:val="clear" w:color="auto" w:fill="auto"/>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585"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60" w:lineRule="exact"/>
              <w:ind w:left="1519" w:hanging="1526"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主动公开环境核查审批、环境状况公报和重特大突发环境事件等信息数</w:t>
            </w:r>
          </w:p>
        </w:tc>
        <w:tc>
          <w:tcPr>
            <w:tcW w:w="720" w:type="dxa"/>
            <w:tcBorders>
              <w:top w:val="nil"/>
              <w:left w:val="single" w:color="auto" w:sz="4" w:space="0"/>
              <w:bottom w:val="single" w:color="auto" w:sz="4" w:space="0"/>
              <w:right w:val="single" w:color="auto" w:sz="4" w:space="0"/>
            </w:tcBorders>
            <w:shd w:val="clear" w:color="auto" w:fill="auto"/>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780"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60" w:lineRule="exact"/>
              <w:ind w:left="1519" w:hanging="1526"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主动公开招投标违法违规行为及处理情况、国有资金占控股或者主导地位依法应当招标的项目等信息数</w:t>
            </w:r>
          </w:p>
        </w:tc>
        <w:tc>
          <w:tcPr>
            <w:tcW w:w="720" w:type="dxa"/>
            <w:tcBorders>
              <w:top w:val="nil"/>
              <w:left w:val="single" w:color="auto" w:sz="4" w:space="0"/>
              <w:bottom w:val="single" w:color="auto" w:sz="4" w:space="0"/>
              <w:right w:val="single" w:color="auto" w:sz="4" w:space="0"/>
            </w:tcBorders>
            <w:shd w:val="clear" w:color="auto" w:fill="auto"/>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555"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60" w:lineRule="exact"/>
              <w:ind w:left="1519" w:hanging="1526"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主动公开生产安全事故的政府举措、处置进展、风险预警、防范措施等信息数</w:t>
            </w:r>
          </w:p>
        </w:tc>
        <w:tc>
          <w:tcPr>
            <w:tcW w:w="720" w:type="dxa"/>
            <w:tcBorders>
              <w:top w:val="nil"/>
              <w:left w:val="single" w:color="auto" w:sz="4" w:space="0"/>
              <w:bottom w:val="single" w:color="auto" w:sz="4" w:space="0"/>
              <w:right w:val="single" w:color="auto" w:sz="4" w:space="0"/>
            </w:tcBorders>
            <w:shd w:val="clear" w:color="auto" w:fill="auto"/>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690"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60" w:lineRule="exact"/>
              <w:ind w:left="1519" w:hanging="1526"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主动公开农用地转为建设用地批准、征收集体土地批准、征地公告、征地补偿安置公示、集体土地征收结案等信息数</w:t>
            </w:r>
          </w:p>
        </w:tc>
        <w:tc>
          <w:tcPr>
            <w:tcW w:w="720" w:type="dxa"/>
            <w:tcBorders>
              <w:top w:val="nil"/>
              <w:left w:val="single" w:color="auto" w:sz="4" w:space="0"/>
              <w:bottom w:val="single" w:color="auto" w:sz="4" w:space="0"/>
              <w:right w:val="single" w:color="auto" w:sz="4" w:space="0"/>
            </w:tcBorders>
            <w:shd w:val="clear" w:color="auto" w:fill="auto"/>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720"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60" w:lineRule="exact"/>
              <w:ind w:left="1519" w:hanging="1526"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主动公开政府指导价、政府定价和收费标准调整的项目、价格、依据、执行时间和范围等信息数</w:t>
            </w:r>
          </w:p>
        </w:tc>
        <w:tc>
          <w:tcPr>
            <w:tcW w:w="720" w:type="dxa"/>
            <w:tcBorders>
              <w:top w:val="nil"/>
              <w:left w:val="single" w:color="auto" w:sz="4" w:space="0"/>
              <w:bottom w:val="single" w:color="auto" w:sz="4" w:space="0"/>
              <w:right w:val="single" w:color="auto" w:sz="4" w:space="0"/>
            </w:tcBorders>
            <w:shd w:val="clear" w:color="auto" w:fill="auto"/>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525"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60" w:lineRule="exact"/>
              <w:ind w:left="1519" w:hanging="1526"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主动公开本市企业信用信息系统中的警示信息和良好信息等信息数</w:t>
            </w:r>
          </w:p>
        </w:tc>
        <w:tc>
          <w:tcPr>
            <w:tcW w:w="720" w:type="dxa"/>
            <w:tcBorders>
              <w:top w:val="nil"/>
              <w:left w:val="single" w:color="auto" w:sz="4" w:space="0"/>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585"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主动公开政府部门预算执行审计结果等信息数</w:t>
            </w:r>
          </w:p>
        </w:tc>
        <w:tc>
          <w:tcPr>
            <w:tcW w:w="720" w:type="dxa"/>
            <w:tcBorders>
              <w:top w:val="nil"/>
              <w:left w:val="single" w:color="auto" w:sz="4" w:space="0"/>
              <w:bottom w:val="single" w:color="auto" w:sz="4" w:space="0"/>
              <w:right w:val="single" w:color="auto" w:sz="4" w:space="0"/>
            </w:tcBorders>
            <w:shd w:val="clear" w:color="auto" w:fill="auto"/>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675"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60" w:lineRule="exact"/>
              <w:ind w:left="1519" w:hanging="1526"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主动公开行政机关对与人民群众利益密切相关的公共企事业单位进行监督管理的信息数</w:t>
            </w:r>
          </w:p>
        </w:tc>
        <w:tc>
          <w:tcPr>
            <w:tcW w:w="720" w:type="dxa"/>
            <w:tcBorders>
              <w:top w:val="nil"/>
              <w:left w:val="single" w:color="auto" w:sz="4" w:space="0"/>
              <w:bottom w:val="single" w:color="auto" w:sz="8" w:space="0"/>
              <w:right w:val="single" w:color="auto" w:sz="4" w:space="0"/>
            </w:tcBorders>
            <w:shd w:val="clear" w:color="auto" w:fill="auto"/>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5"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主动公开市人民政府决定主动公开的其他信息数</w:t>
            </w:r>
          </w:p>
        </w:tc>
        <w:tc>
          <w:tcPr>
            <w:tcW w:w="720" w:type="dxa"/>
            <w:tcBorders>
              <w:top w:val="single" w:color="auto" w:sz="8" w:space="0"/>
              <w:left w:val="single" w:color="auto" w:sz="4" w:space="0"/>
              <w:bottom w:val="single" w:color="auto" w:sz="8" w:space="0"/>
              <w:right w:val="single" w:color="auto" w:sz="8" w:space="0"/>
            </w:tcBorders>
            <w:shd w:val="clear" w:color="auto" w:fill="auto"/>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321</w:t>
            </w:r>
          </w:p>
        </w:tc>
      </w:tr>
      <w:tr>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（三）通过不同渠道和方式公开政府信息的情况</w:t>
            </w:r>
          </w:p>
        </w:tc>
        <w:tc>
          <w:tcPr>
            <w:tcW w:w="720" w:type="dxa"/>
            <w:tcBorders>
              <w:top w:val="single" w:color="auto" w:sz="8" w:space="0"/>
              <w:left w:val="nil"/>
              <w:bottom w:val="single" w:color="auto" w:sz="4" w:space="0"/>
              <w:right w:val="single" w:color="auto" w:sz="4" w:space="0"/>
              <w:tr2bl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p>
        </w:tc>
        <w:tc>
          <w:tcPr>
            <w:tcW w:w="1080" w:type="dxa"/>
            <w:tcBorders>
              <w:top w:val="single" w:color="auto" w:sz="8" w:space="0"/>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p>
        </w:tc>
      </w:tr>
      <w:tr>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1.政府公报公开政府信息数</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2.政府网站公开政府信息数</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1800</w:t>
            </w:r>
          </w:p>
        </w:tc>
      </w:tr>
      <w:tr>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3.政务微博公开政府信息数</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591</w:t>
            </w:r>
          </w:p>
        </w:tc>
      </w:tr>
      <w:tr>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4.政务微信公开政府信息数</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1778</w:t>
            </w:r>
          </w:p>
        </w:tc>
      </w:tr>
      <w:tr>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5.其他方式公开政府信息数</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1280</w:t>
            </w:r>
          </w:p>
        </w:tc>
      </w:tr>
      <w:tr>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60" w:lineRule="exact"/>
              <w:jc w:val="left"/>
              <w:rPr>
                <w:rFonts w:ascii="黑体" w:hAnsi="宋体" w:eastAsia="黑体" w:cs="宋体"/>
                <w:color w:val="000000"/>
                <w:kern w:val="0"/>
                <w:sz w:val="24"/>
              </w:rPr>
            </w:pPr>
            <w:r>
              <w:rPr>
                <w:rFonts w:hint="eastAsia" w:ascii="黑体" w:hAnsi="宋体" w:eastAsia="黑体" w:cs="宋体"/>
                <w:color w:val="000000"/>
                <w:kern w:val="0"/>
                <w:sz w:val="24"/>
              </w:rPr>
              <w:t>二、回应解读情况</w:t>
            </w:r>
          </w:p>
        </w:tc>
        <w:tc>
          <w:tcPr>
            <w:tcW w:w="720" w:type="dxa"/>
            <w:tcBorders>
              <w:top w:val="nil"/>
              <w:left w:val="nil"/>
              <w:bottom w:val="single" w:color="auto" w:sz="4" w:space="0"/>
              <w:right w:val="single" w:color="auto" w:sz="4" w:space="0"/>
              <w:tr2bl w:val="single" w:color="auto" w:sz="4" w:space="0"/>
            </w:tcBorders>
            <w:shd w:val="clear" w:color="auto" w:fill="auto"/>
            <w:noWrap/>
            <w:vAlign w:val="center"/>
          </w:tcPr>
          <w:p>
            <w:pPr>
              <w:widowControl/>
              <w:spacing w:line="460" w:lineRule="exact"/>
              <w:jc w:val="center"/>
              <w:rPr>
                <w:rFonts w:ascii="宋体" w:hAnsi="宋体" w:cs="宋体"/>
                <w:color w:val="000000"/>
                <w:kern w:val="0"/>
                <w:sz w:val="24"/>
              </w:rPr>
            </w:pPr>
            <w:r>
              <w:rPr>
                <w:rFonts w:hint="eastAsia" w:ascii="宋体" w:hAnsi="宋体" w:cs="宋体"/>
                <w:color w:val="000000"/>
                <w:kern w:val="0"/>
                <w:sz w:val="24"/>
              </w:rPr>
              <w:t>　</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660"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（一）回应公众关注热点或重大舆情数</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 xml:space="preserve">         （不同方式回应同一热点或舆情计1次）</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（二）通过不同渠道和方式回应解读的情况</w:t>
            </w:r>
          </w:p>
        </w:tc>
        <w:tc>
          <w:tcPr>
            <w:tcW w:w="720" w:type="dxa"/>
            <w:tcBorders>
              <w:top w:val="nil"/>
              <w:left w:val="nil"/>
              <w:bottom w:val="single" w:color="auto" w:sz="4" w:space="0"/>
              <w:right w:val="single" w:color="auto" w:sz="4" w:space="0"/>
              <w:tr2bl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p>
        </w:tc>
      </w:tr>
      <w:tr>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1.参加或举办新闻发布会总次数</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3</w:t>
            </w:r>
          </w:p>
        </w:tc>
      </w:tr>
      <w:tr>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其中：主要负责同志参加新闻发布会次数</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2.政府网站在线访谈次数</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其中：主要负责同志参加政府网站在线访谈次数</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3.政策解读稿件发布数</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篇</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23</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4.微博微信回应事件数</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4</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5.其他方式回应事件数</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黑体" w:hAnsi="宋体" w:eastAsia="黑体" w:cs="宋体"/>
                <w:color w:val="000000"/>
                <w:kern w:val="0"/>
                <w:sz w:val="24"/>
              </w:rPr>
            </w:pPr>
            <w:r>
              <w:rPr>
                <w:rFonts w:hint="eastAsia" w:ascii="黑体" w:hAnsi="宋体" w:eastAsia="黑体" w:cs="宋体"/>
                <w:color w:val="000000"/>
                <w:kern w:val="0"/>
                <w:sz w:val="24"/>
              </w:rPr>
              <w:t>三、依申请公开情况</w:t>
            </w:r>
          </w:p>
        </w:tc>
        <w:tc>
          <w:tcPr>
            <w:tcW w:w="720" w:type="dxa"/>
            <w:tcBorders>
              <w:top w:val="nil"/>
              <w:left w:val="nil"/>
              <w:bottom w:val="single" w:color="auto" w:sz="4" w:space="0"/>
              <w:right w:val="single" w:color="auto" w:sz="4" w:space="0"/>
              <w:tr2bl w:val="single" w:color="auto" w:sz="4" w:space="0"/>
            </w:tcBorders>
            <w:shd w:val="clear" w:color="auto" w:fill="auto"/>
            <w:noWrap/>
            <w:vAlign w:val="center"/>
          </w:tcPr>
          <w:p>
            <w:pPr>
              <w:widowControl/>
              <w:spacing w:line="460" w:lineRule="exact"/>
              <w:jc w:val="center"/>
              <w:rPr>
                <w:rFonts w:ascii="宋体" w:hAnsi="宋体" w:cs="宋体"/>
                <w:color w:val="000000"/>
                <w:kern w:val="0"/>
                <w:sz w:val="24"/>
              </w:rPr>
            </w:pPr>
            <w:r>
              <w:rPr>
                <w:rFonts w:hint="eastAsia" w:ascii="宋体" w:hAnsi="宋体" w:cs="宋体"/>
                <w:color w:val="000000"/>
                <w:kern w:val="0"/>
                <w:sz w:val="24"/>
              </w:rPr>
              <w:t>　</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（一）收到申请数</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9</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1.当面申请数</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2.传真申请数</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3.网络申请数</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7</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4.信函申请数</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2</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（二）申请办结数</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9</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1.按时办结数</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8</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2.延期办结数</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（三）申请答复数</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9</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1.属于已主动公开范围数</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2</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2.同意公开答复数</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3.同意部分公开答复数</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4.不同意公开答复数</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2</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其中：涉及国家秘密</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涉及商业秘密</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涉及个人隐私</w:t>
            </w:r>
          </w:p>
        </w:tc>
        <w:tc>
          <w:tcPr>
            <w:tcW w:w="720" w:type="dxa"/>
            <w:tcBorders>
              <w:top w:val="single" w:color="auto" w:sz="4" w:space="0"/>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ind w:left="2171" w:hanging="2180" w:hangingChars="1000"/>
              <w:jc w:val="left"/>
              <w:rPr>
                <w:rFonts w:ascii="仿宋_GB2312" w:hAnsi="宋体" w:eastAsia="仿宋_GB2312" w:cs="宋体"/>
                <w:kern w:val="0"/>
                <w:sz w:val="24"/>
              </w:rPr>
            </w:pPr>
            <w:r>
              <w:rPr>
                <w:rFonts w:hint="eastAsia" w:ascii="仿宋_GB2312" w:hAnsi="宋体" w:eastAsia="仿宋_GB2312" w:cs="宋体"/>
                <w:kern w:val="0"/>
                <w:sz w:val="24"/>
              </w:rPr>
              <w:t>　　　　　　　　　　危及国家安全、公共安全、经济安全和社会稳定</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不是《条例》所指政府信息</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2</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法律法规规定的其他情形</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5.不属于本行政机关公开数</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3</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6.申请信息不存在数</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7.告知作出更改补充数</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8.告知通过其他途径办理数</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黑体" w:hAnsi="宋体" w:eastAsia="黑体" w:cs="宋体"/>
                <w:color w:val="000000"/>
                <w:kern w:val="0"/>
                <w:sz w:val="24"/>
              </w:rPr>
            </w:pPr>
            <w:r>
              <w:rPr>
                <w:rFonts w:hint="eastAsia" w:ascii="黑体" w:hAnsi="宋体" w:eastAsia="黑体" w:cs="宋体"/>
                <w:color w:val="000000"/>
                <w:kern w:val="0"/>
                <w:sz w:val="24"/>
              </w:rPr>
              <w:t>四、行政复议数量</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宋体" w:hAnsi="宋体" w:cs="宋体"/>
                <w:color w:val="000000"/>
                <w:kern w:val="0"/>
                <w:sz w:val="24"/>
              </w:rPr>
            </w:pPr>
            <w:r>
              <w:rPr>
                <w:rFonts w:hint="eastAsia" w:ascii="宋体" w:hAnsi="宋体" w:cs="宋体"/>
                <w:color w:val="000000"/>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（一）维持具体行政行为数</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（二）被依法纠错数</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（三）其他情形数</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黑体" w:hAnsi="宋体" w:eastAsia="黑体" w:cs="宋体"/>
                <w:color w:val="000000"/>
                <w:kern w:val="0"/>
                <w:sz w:val="24"/>
              </w:rPr>
            </w:pPr>
            <w:r>
              <w:rPr>
                <w:rFonts w:hint="eastAsia" w:ascii="黑体" w:hAnsi="宋体" w:eastAsia="黑体" w:cs="宋体"/>
                <w:color w:val="000000"/>
                <w:kern w:val="0"/>
                <w:sz w:val="24"/>
              </w:rPr>
              <w:t>五、行政诉讼数量</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宋体" w:hAnsi="宋体" w:cs="宋体"/>
                <w:color w:val="000000"/>
                <w:kern w:val="0"/>
                <w:sz w:val="24"/>
              </w:rPr>
            </w:pPr>
            <w:r>
              <w:rPr>
                <w:rFonts w:hint="eastAsia" w:ascii="宋体" w:hAnsi="宋体" w:cs="宋体"/>
                <w:color w:val="000000"/>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仿宋" w:hAnsi="仿宋" w:eastAsia="仿宋" w:cs="宋体"/>
                <w:color w:val="000000"/>
                <w:kern w:val="0"/>
                <w:sz w:val="24"/>
              </w:rPr>
            </w:pPr>
            <w:r>
              <w:rPr>
                <w:rFonts w:hint="eastAsia" w:ascii="黑体" w:hAnsi="宋体" w:eastAsia="黑体" w:cs="宋体"/>
                <w:color w:val="000000"/>
                <w:kern w:val="0"/>
                <w:sz w:val="24"/>
              </w:rPr>
              <w:t xml:space="preserve">  </w:t>
            </w:r>
            <w:r>
              <w:rPr>
                <w:rFonts w:hint="eastAsia" w:ascii="仿宋_GB2312" w:hAnsi="宋体" w:eastAsia="仿宋_GB2312" w:cs="宋体"/>
                <w:kern w:val="0"/>
                <w:sz w:val="24"/>
              </w:rPr>
              <w:t>（一）维持具体行政行为或者驳回原告诉讼请求数</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宋体" w:hAnsi="宋体" w:cs="宋体"/>
                <w:color w:val="000000"/>
                <w:kern w:val="0"/>
                <w:sz w:val="24"/>
              </w:rPr>
            </w:pPr>
            <w:r>
              <w:rPr>
                <w:rFonts w:hint="eastAsia" w:ascii="宋体" w:hAnsi="宋体" w:cs="宋体"/>
                <w:color w:val="000000"/>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（二）被依法纠错数</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（三）其他情形数</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黑体" w:hAnsi="宋体" w:eastAsia="黑体" w:cs="宋体"/>
                <w:color w:val="000000"/>
                <w:kern w:val="0"/>
                <w:sz w:val="24"/>
              </w:rPr>
            </w:pPr>
            <w:r>
              <w:rPr>
                <w:rFonts w:hint="eastAsia" w:ascii="黑体" w:hAnsi="宋体" w:eastAsia="黑体" w:cs="宋体"/>
                <w:color w:val="000000"/>
                <w:kern w:val="0"/>
                <w:sz w:val="24"/>
              </w:rPr>
              <w:t>六、举报投诉数量</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宋体" w:hAnsi="宋体" w:cs="宋体"/>
                <w:color w:val="000000"/>
                <w:kern w:val="0"/>
                <w:sz w:val="24"/>
              </w:rPr>
            </w:pPr>
            <w:r>
              <w:rPr>
                <w:rFonts w:hint="eastAsia" w:ascii="宋体" w:hAnsi="宋体" w:cs="宋体"/>
                <w:color w:val="000000"/>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黑体" w:hAnsi="宋体" w:eastAsia="黑体" w:cs="宋体"/>
                <w:color w:val="000000"/>
                <w:kern w:val="0"/>
                <w:sz w:val="24"/>
              </w:rPr>
            </w:pPr>
            <w:r>
              <w:rPr>
                <w:rFonts w:hint="eastAsia" w:ascii="黑体" w:hAnsi="宋体" w:eastAsia="黑体" w:cs="宋体"/>
                <w:color w:val="000000"/>
                <w:kern w:val="0"/>
                <w:sz w:val="24"/>
              </w:rPr>
              <w:t>七、依申请公开信息收取的费用</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宋体" w:hAnsi="宋体" w:cs="宋体"/>
                <w:color w:val="000000"/>
                <w:kern w:val="0"/>
                <w:sz w:val="24"/>
              </w:rPr>
            </w:pPr>
            <w:r>
              <w:rPr>
                <w:rFonts w:hint="eastAsia" w:ascii="宋体" w:hAnsi="宋体" w:cs="宋体"/>
                <w:color w:val="000000"/>
                <w:kern w:val="0"/>
                <w:sz w:val="24"/>
              </w:rPr>
              <w:t>万元</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黑体" w:hAnsi="宋体" w:eastAsia="黑体" w:cs="宋体"/>
                <w:color w:val="000000"/>
                <w:kern w:val="0"/>
                <w:sz w:val="24"/>
              </w:rPr>
            </w:pPr>
            <w:r>
              <w:rPr>
                <w:rFonts w:hint="eastAsia" w:ascii="黑体" w:hAnsi="宋体" w:eastAsia="黑体" w:cs="宋体"/>
                <w:color w:val="000000"/>
                <w:kern w:val="0"/>
                <w:sz w:val="24"/>
              </w:rPr>
              <w:t>八、机构建设和保障经费情况</w:t>
            </w:r>
          </w:p>
        </w:tc>
        <w:tc>
          <w:tcPr>
            <w:tcW w:w="720" w:type="dxa"/>
            <w:tcBorders>
              <w:top w:val="nil"/>
              <w:left w:val="nil"/>
              <w:bottom w:val="single" w:color="auto" w:sz="4" w:space="0"/>
              <w:right w:val="single" w:color="auto" w:sz="4" w:space="0"/>
              <w:tr2bl w:val="single" w:color="auto" w:sz="4" w:space="0"/>
            </w:tcBorders>
            <w:shd w:val="clear" w:color="auto" w:fill="auto"/>
            <w:noWrap/>
            <w:vAlign w:val="center"/>
          </w:tcPr>
          <w:p>
            <w:pPr>
              <w:widowControl/>
              <w:spacing w:line="460" w:lineRule="exact"/>
              <w:jc w:val="center"/>
              <w:rPr>
                <w:rFonts w:ascii="宋体" w:hAnsi="宋体" w:cs="宋体"/>
                <w:color w:val="000000"/>
                <w:kern w:val="0"/>
                <w:sz w:val="24"/>
              </w:rPr>
            </w:pPr>
            <w:r>
              <w:rPr>
                <w:rFonts w:hint="eastAsia" w:ascii="宋体" w:hAnsi="宋体" w:cs="宋体"/>
                <w:color w:val="000000"/>
                <w:kern w:val="0"/>
                <w:sz w:val="24"/>
              </w:rPr>
              <w:t>　</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（一）政府信息公开工作专门机构数</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个</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（二）设置政府信息公开查阅点数</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个</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（三）从事政府信息公开工作人员数</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人</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18</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1.专职人员数（不包括政府公报及政府网站工作人员数）</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人</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2.兼职人员数</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人</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17</w:t>
            </w:r>
          </w:p>
        </w:tc>
      </w:tr>
      <w:tr>
        <w:tblPrEx>
          <w:tblCellMar>
            <w:top w:w="0" w:type="dxa"/>
            <w:left w:w="108" w:type="dxa"/>
            <w:bottom w:w="0" w:type="dxa"/>
            <w:right w:w="108" w:type="dxa"/>
          </w:tblCellMar>
        </w:tblPrEx>
        <w:trPr>
          <w:trHeight w:val="660" w:hRule="atLeast"/>
          <w:jc w:val="center"/>
        </w:trPr>
        <w:tc>
          <w:tcPr>
            <w:tcW w:w="7755" w:type="dxa"/>
            <w:tcBorders>
              <w:top w:val="nil"/>
              <w:left w:val="single" w:color="auto" w:sz="8" w:space="0"/>
              <w:bottom w:val="single" w:color="auto" w:sz="4" w:space="0"/>
              <w:right w:val="single" w:color="auto" w:sz="4" w:space="0"/>
            </w:tcBorders>
            <w:shd w:val="clear" w:color="auto" w:fill="auto"/>
            <w:vAlign w:val="center"/>
          </w:tcPr>
          <w:p>
            <w:pPr>
              <w:widowControl/>
              <w:spacing w:line="460" w:lineRule="exact"/>
              <w:ind w:left="868" w:hanging="872" w:hangingChars="400"/>
              <w:jc w:val="left"/>
              <w:rPr>
                <w:rFonts w:ascii="仿宋_GB2312" w:hAnsi="宋体" w:eastAsia="仿宋_GB2312" w:cs="宋体"/>
                <w:kern w:val="0"/>
                <w:sz w:val="24"/>
              </w:rPr>
            </w:pPr>
            <w:r>
              <w:rPr>
                <w:rFonts w:hint="eastAsia" w:ascii="仿宋_GB2312" w:hAnsi="宋体" w:eastAsia="仿宋_GB2312" w:cs="宋体"/>
                <w:kern w:val="0"/>
                <w:sz w:val="24"/>
              </w:rPr>
              <w:t xml:space="preserve">  （四）政府信息公开专项经费（不包括用于政府公报编辑管理及政府网站建设维护等方面的经费）</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万元</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黑体" w:hAnsi="宋体" w:eastAsia="黑体" w:cs="宋体"/>
                <w:color w:val="000000"/>
                <w:kern w:val="0"/>
                <w:sz w:val="24"/>
              </w:rPr>
            </w:pPr>
            <w:r>
              <w:rPr>
                <w:rFonts w:hint="eastAsia" w:ascii="黑体" w:hAnsi="宋体" w:eastAsia="黑体" w:cs="宋体"/>
                <w:color w:val="000000"/>
                <w:kern w:val="0"/>
                <w:sz w:val="24"/>
              </w:rPr>
              <w:t>九、政府信息公开会议和培训情况</w:t>
            </w:r>
          </w:p>
        </w:tc>
        <w:tc>
          <w:tcPr>
            <w:tcW w:w="720" w:type="dxa"/>
            <w:tcBorders>
              <w:top w:val="nil"/>
              <w:left w:val="nil"/>
              <w:bottom w:val="single" w:color="auto" w:sz="4" w:space="0"/>
              <w:right w:val="single" w:color="auto" w:sz="4" w:space="0"/>
              <w:tr2bl w:val="single" w:color="auto" w:sz="4" w:space="0"/>
            </w:tcBorders>
            <w:shd w:val="clear" w:color="auto" w:fill="auto"/>
            <w:noWrap/>
            <w:vAlign w:val="center"/>
          </w:tcPr>
          <w:p>
            <w:pPr>
              <w:widowControl/>
              <w:spacing w:line="460" w:lineRule="exact"/>
              <w:jc w:val="center"/>
              <w:rPr>
                <w:rFonts w:ascii="宋体" w:hAnsi="宋体" w:cs="宋体"/>
                <w:color w:val="000000"/>
                <w:kern w:val="0"/>
                <w:sz w:val="24"/>
              </w:rPr>
            </w:pP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（一）召开政府信息公开工作会议或专题会议数</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3</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（二）举办各类培训班数</w:t>
            </w:r>
          </w:p>
        </w:tc>
        <w:tc>
          <w:tcPr>
            <w:tcW w:w="720" w:type="dxa"/>
            <w:tcBorders>
              <w:top w:val="nil"/>
              <w:left w:val="nil"/>
              <w:bottom w:val="single" w:color="auto" w:sz="4"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8" w:space="0"/>
              <w:right w:val="single" w:color="auto" w:sz="4" w:space="0"/>
            </w:tcBorders>
            <w:shd w:val="clear" w:color="auto" w:fill="auto"/>
            <w:noWrap/>
            <w:vAlign w:val="center"/>
          </w:tcPr>
          <w:p>
            <w:pPr>
              <w:widowControl/>
              <w:spacing w:line="460" w:lineRule="exact"/>
              <w:jc w:val="left"/>
              <w:rPr>
                <w:rFonts w:ascii="仿宋_GB2312" w:hAnsi="宋体" w:eastAsia="仿宋_GB2312" w:cs="宋体"/>
                <w:kern w:val="0"/>
                <w:sz w:val="24"/>
              </w:rPr>
            </w:pPr>
            <w:r>
              <w:rPr>
                <w:rFonts w:hint="eastAsia" w:ascii="仿宋_GB2312" w:hAnsi="宋体" w:eastAsia="仿宋_GB2312" w:cs="宋体"/>
                <w:kern w:val="0"/>
                <w:sz w:val="24"/>
              </w:rPr>
              <w:t xml:space="preserve">  （三）接受培训人员数</w:t>
            </w:r>
          </w:p>
        </w:tc>
        <w:tc>
          <w:tcPr>
            <w:tcW w:w="720" w:type="dxa"/>
            <w:tcBorders>
              <w:top w:val="nil"/>
              <w:left w:val="nil"/>
              <w:bottom w:val="single" w:color="auto" w:sz="8" w:space="0"/>
              <w:right w:val="single" w:color="auto" w:sz="4" w:space="0"/>
            </w:tcBorders>
            <w:shd w:val="clear" w:color="auto" w:fill="auto"/>
            <w:noWrap/>
            <w:vAlign w:val="center"/>
          </w:tcPr>
          <w:p>
            <w:pPr>
              <w:widowControl/>
              <w:spacing w:line="460" w:lineRule="exact"/>
              <w:jc w:val="center"/>
              <w:rPr>
                <w:rFonts w:ascii="仿宋_GB2312" w:hAnsi="宋体" w:eastAsia="仿宋_GB2312" w:cs="宋体"/>
                <w:kern w:val="0"/>
                <w:sz w:val="24"/>
              </w:rPr>
            </w:pPr>
            <w:r>
              <w:rPr>
                <w:rFonts w:hint="eastAsia" w:ascii="仿宋_GB2312" w:hAnsi="宋体" w:eastAsia="仿宋_GB2312" w:cs="宋体"/>
                <w:kern w:val="0"/>
                <w:sz w:val="24"/>
              </w:rPr>
              <w:t>人次</w:t>
            </w:r>
          </w:p>
        </w:tc>
        <w:tc>
          <w:tcPr>
            <w:tcW w:w="1080" w:type="dxa"/>
            <w:tcBorders>
              <w:top w:val="nil"/>
              <w:left w:val="nil"/>
              <w:bottom w:val="single" w:color="auto" w:sz="8" w:space="0"/>
              <w:right w:val="single" w:color="auto" w:sz="8"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304</w:t>
            </w:r>
          </w:p>
        </w:tc>
      </w:tr>
    </w:tbl>
    <w:p>
      <w:pPr>
        <w:jc w:val="left"/>
      </w:pPr>
    </w:p>
    <w:sectPr>
      <w:footerReference r:id="rId5" w:type="first"/>
      <w:footerReference r:id="rId3" w:type="default"/>
      <w:footerReference r:id="rId4" w:type="even"/>
      <w:pgSz w:w="11906" w:h="16838"/>
      <w:pgMar w:top="1673" w:right="1531" w:bottom="1395" w:left="1644" w:header="851" w:footer="851" w:gutter="0"/>
      <w:pgNumType w:fmt="numberInDash"/>
      <w:cols w:space="720" w:num="1"/>
      <w:titlePg/>
      <w:docGrid w:type="linesAndChars" w:linePitch="558" w:charSpace="-469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6F061FA-5548-4144-A5E1-E37689BBE22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A516EC0D-82D7-4850-8169-154AAD821914}"/>
  </w:font>
  <w:font w:name="Calibri Light">
    <w:panose1 w:val="020F03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embedRegular r:id="rId3" w:fontKey="{08B6D290-3968-42CB-91D1-DC4B346C4143}"/>
  </w:font>
  <w:font w:name="仿宋_GB2312">
    <w:altName w:val="仿宋"/>
    <w:panose1 w:val="02010609030101010101"/>
    <w:charset w:val="86"/>
    <w:family w:val="modern"/>
    <w:pitch w:val="default"/>
    <w:sig w:usb0="00000000" w:usb1="00000000" w:usb2="00000000" w:usb3="00000000" w:csb0="00040000" w:csb1="00000000"/>
    <w:embedRegular r:id="rId4" w:fontKey="{5D68FCE6-E502-4A46-BE2E-EC50A7B40CED}"/>
  </w:font>
  <w:font w:name="方正小标宋_GBK">
    <w:panose1 w:val="02000000000000000000"/>
    <w:charset w:val="86"/>
    <w:family w:val="script"/>
    <w:pitch w:val="default"/>
    <w:sig w:usb0="A00002BF" w:usb1="38CF7CFA" w:usb2="00082016" w:usb3="00000000" w:csb0="00040001" w:csb1="00000000"/>
    <w:embedRegular r:id="rId5" w:fontKey="{76A5E125-E7B6-4060-A641-E476833E77A5}"/>
  </w:font>
  <w:font w:name="华文中宋">
    <w:altName w:val="宋体"/>
    <w:panose1 w:val="02010600040101010101"/>
    <w:charset w:val="86"/>
    <w:family w:val="auto"/>
    <w:pitch w:val="default"/>
    <w:sig w:usb0="00000000" w:usb1="00000000" w:usb2="00000010" w:usb3="00000000" w:csb0="0004009F" w:csb1="00000000"/>
    <w:embedRegular r:id="rId6" w:fontKey="{4A480479-0BCA-42EF-A99C-810FFB2F8E5C}"/>
  </w:font>
  <w:font w:name="Arial">
    <w:panose1 w:val="020B0604020202020204"/>
    <w:charset w:val="00"/>
    <w:family w:val="swiss"/>
    <w:pitch w:val="default"/>
    <w:sig w:usb0="E0002EFF" w:usb1="C000785B" w:usb2="00000009" w:usb3="00000000" w:csb0="400001FF" w:csb1="FFFF0000"/>
    <w:embedRegular r:id="rId7" w:fontKey="{CD5AA394-9AA3-4277-8331-46164ACCCFC4}"/>
  </w:font>
  <w:font w:name="楷体_GB2312">
    <w:altName w:val="楷体"/>
    <w:panose1 w:val="00000000000000000000"/>
    <w:charset w:val="86"/>
    <w:family w:val="modern"/>
    <w:pitch w:val="default"/>
    <w:sig w:usb0="00000000" w:usb1="00000000" w:usb2="00000010" w:usb3="00000000" w:csb0="00040000" w:csb1="00000000"/>
    <w:embedRegular r:id="rId8" w:fontKey="{40FA45C3-1738-4E8D-A90E-A4B84BD0074E}"/>
  </w:font>
  <w:font w:name="Verdana">
    <w:panose1 w:val="020B0604030504040204"/>
    <w:charset w:val="00"/>
    <w:family w:val="swiss"/>
    <w:pitch w:val="default"/>
    <w:sig w:usb0="A00006FF" w:usb1="4000205B" w:usb2="00000010" w:usb3="00000000" w:csb0="2000019F" w:csb1="00000000"/>
    <w:embedRegular r:id="rId9" w:fontKey="{72F08A6C-2731-4CCD-AC60-00540C72C1D7}"/>
  </w:font>
  <w:font w:name="Calibri">
    <w:panose1 w:val="020F0502020204030204"/>
    <w:charset w:val="01"/>
    <w:family w:val="auto"/>
    <w:pitch w:val="default"/>
    <w:sig w:usb0="E4002EFF" w:usb1="C000247B" w:usb2="00000009" w:usb3="00000000" w:csb0="200001F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embedRegular r:id="rId10" w:fontKey="{26BB8BD3-E202-4A66-9758-D72161892006}"/>
  </w:font>
  <w:font w:name="方正小标宋简体">
    <w:panose1 w:val="02000000000000000000"/>
    <w:charset w:val="86"/>
    <w:family w:val="auto"/>
    <w:pitch w:val="default"/>
    <w:sig w:usb0="00000001" w:usb1="08000000" w:usb2="00000000" w:usb3="00000000" w:csb0="00040000" w:csb1="00000000"/>
    <w:embedRegular r:id="rId11" w:fontKey="{93306579-460C-4247-A879-3735EAF07FFA}"/>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48" w:after="48"/>
      <w:jc w:val="center"/>
    </w:pPr>
    <w:r>
      <w:fldChar w:fldCharType="begin"/>
    </w:r>
    <w:r>
      <w:instrText xml:space="preserve"> PAGE   \* MERGEFORMAT </w:instrText>
    </w:r>
    <w:r>
      <w:fldChar w:fldCharType="separate"/>
    </w:r>
    <w:r>
      <w:rPr>
        <w:lang w:val="zh-CN"/>
      </w:rPr>
      <w:t>-</w:t>
    </w:r>
    <w:r>
      <w:t xml:space="preserve"> 3 -</w:t>
    </w:r>
    <w:r>
      <w:fldChar w:fldCharType="end"/>
    </w: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48" w:after="48"/>
      <w:jc w:val="center"/>
    </w:pPr>
    <w:r>
      <w:fldChar w:fldCharType="begin"/>
    </w:r>
    <w:r>
      <w:instrText xml:space="preserve"> PAGE   \* MERGEFORMAT </w:instrText>
    </w:r>
    <w:r>
      <w:fldChar w:fldCharType="separate"/>
    </w:r>
    <w:r>
      <w:rPr>
        <w:lang w:val="zh-CN"/>
      </w:rPr>
      <w:t>-</w:t>
    </w:r>
    <w:r>
      <w:t xml:space="preserve"> 2 -</w:t>
    </w:r>
    <w:r>
      <w:fldChar w:fldCharType="end"/>
    </w:r>
  </w:p>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48" w:after="48"/>
      <w:jc w:val="center"/>
    </w:pPr>
    <w:r>
      <w:fldChar w:fldCharType="begin"/>
    </w:r>
    <w:r>
      <w:instrText xml:space="preserve"> PAGE   \* MERGEFORMAT </w:instrText>
    </w:r>
    <w:r>
      <w:fldChar w:fldCharType="separate"/>
    </w:r>
    <w:r>
      <w:rPr>
        <w:lang w:val="zh-CN"/>
      </w:rPr>
      <w:t>-</w:t>
    </w:r>
    <w:r>
      <w:t xml:space="preserve"> 1 -</w:t>
    </w:r>
    <w:r>
      <w:fldChar w:fldCharType="end"/>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2EzMjNhYmEzY2U3YjA0MmMwZmM0NzM3ZjdlNTFlYWEifQ=="/>
  </w:docVars>
  <w:rsids>
    <w:rsidRoot w:val="00224AB7"/>
    <w:rsid w:val="00026EBF"/>
    <w:rsid w:val="00053FA8"/>
    <w:rsid w:val="0006257A"/>
    <w:rsid w:val="00075D8B"/>
    <w:rsid w:val="000D4536"/>
    <w:rsid w:val="001067AB"/>
    <w:rsid w:val="00121BB3"/>
    <w:rsid w:val="00123EF7"/>
    <w:rsid w:val="001421F2"/>
    <w:rsid w:val="001613ED"/>
    <w:rsid w:val="00181392"/>
    <w:rsid w:val="001948F9"/>
    <w:rsid w:val="001A3D05"/>
    <w:rsid w:val="001E0066"/>
    <w:rsid w:val="001E7347"/>
    <w:rsid w:val="001F1DD9"/>
    <w:rsid w:val="0020205D"/>
    <w:rsid w:val="002060D3"/>
    <w:rsid w:val="00224AB7"/>
    <w:rsid w:val="00231CD0"/>
    <w:rsid w:val="00262C59"/>
    <w:rsid w:val="00275E30"/>
    <w:rsid w:val="00293071"/>
    <w:rsid w:val="0029549D"/>
    <w:rsid w:val="002A3AC5"/>
    <w:rsid w:val="002C47E1"/>
    <w:rsid w:val="002E2E0D"/>
    <w:rsid w:val="002F067A"/>
    <w:rsid w:val="00303212"/>
    <w:rsid w:val="003163BB"/>
    <w:rsid w:val="00323140"/>
    <w:rsid w:val="00324E8B"/>
    <w:rsid w:val="00326240"/>
    <w:rsid w:val="00363DF1"/>
    <w:rsid w:val="00370DFB"/>
    <w:rsid w:val="003719F0"/>
    <w:rsid w:val="003947A9"/>
    <w:rsid w:val="003B6843"/>
    <w:rsid w:val="003D3923"/>
    <w:rsid w:val="00401F18"/>
    <w:rsid w:val="00407049"/>
    <w:rsid w:val="00420028"/>
    <w:rsid w:val="00434A05"/>
    <w:rsid w:val="00436DE5"/>
    <w:rsid w:val="0048082B"/>
    <w:rsid w:val="004A25A9"/>
    <w:rsid w:val="004B4043"/>
    <w:rsid w:val="004C7EF3"/>
    <w:rsid w:val="004D4F0A"/>
    <w:rsid w:val="004E461B"/>
    <w:rsid w:val="004E6238"/>
    <w:rsid w:val="00532E5D"/>
    <w:rsid w:val="00545E3E"/>
    <w:rsid w:val="00546830"/>
    <w:rsid w:val="005470E0"/>
    <w:rsid w:val="005617E6"/>
    <w:rsid w:val="005B489E"/>
    <w:rsid w:val="005B650E"/>
    <w:rsid w:val="005D5E4A"/>
    <w:rsid w:val="00614C59"/>
    <w:rsid w:val="00645236"/>
    <w:rsid w:val="00657EF0"/>
    <w:rsid w:val="00680553"/>
    <w:rsid w:val="00692AFF"/>
    <w:rsid w:val="006A04A2"/>
    <w:rsid w:val="006A37D8"/>
    <w:rsid w:val="006B4D70"/>
    <w:rsid w:val="006B64C0"/>
    <w:rsid w:val="006B64F1"/>
    <w:rsid w:val="006C4FA3"/>
    <w:rsid w:val="006D6673"/>
    <w:rsid w:val="006E10F2"/>
    <w:rsid w:val="006E1BCA"/>
    <w:rsid w:val="006E4500"/>
    <w:rsid w:val="006F2FD4"/>
    <w:rsid w:val="0074145D"/>
    <w:rsid w:val="00745033"/>
    <w:rsid w:val="00745273"/>
    <w:rsid w:val="00754CE0"/>
    <w:rsid w:val="007625EC"/>
    <w:rsid w:val="0078311B"/>
    <w:rsid w:val="007B560C"/>
    <w:rsid w:val="007B674D"/>
    <w:rsid w:val="007D1317"/>
    <w:rsid w:val="007E48D2"/>
    <w:rsid w:val="00800A40"/>
    <w:rsid w:val="008366C3"/>
    <w:rsid w:val="008A178D"/>
    <w:rsid w:val="008A52E6"/>
    <w:rsid w:val="008B1AA2"/>
    <w:rsid w:val="008C516B"/>
    <w:rsid w:val="008D6B66"/>
    <w:rsid w:val="008E0F9F"/>
    <w:rsid w:val="008E2ED3"/>
    <w:rsid w:val="009052FF"/>
    <w:rsid w:val="009164E8"/>
    <w:rsid w:val="00931770"/>
    <w:rsid w:val="009412F7"/>
    <w:rsid w:val="009426C5"/>
    <w:rsid w:val="00942D1F"/>
    <w:rsid w:val="00990A9C"/>
    <w:rsid w:val="00996A85"/>
    <w:rsid w:val="00996C10"/>
    <w:rsid w:val="009A4868"/>
    <w:rsid w:val="009B572B"/>
    <w:rsid w:val="00A05436"/>
    <w:rsid w:val="00A073D1"/>
    <w:rsid w:val="00A15BE9"/>
    <w:rsid w:val="00A419E6"/>
    <w:rsid w:val="00A42C36"/>
    <w:rsid w:val="00A52615"/>
    <w:rsid w:val="00A634D2"/>
    <w:rsid w:val="00A811F5"/>
    <w:rsid w:val="00A82191"/>
    <w:rsid w:val="00A83622"/>
    <w:rsid w:val="00A9168E"/>
    <w:rsid w:val="00A91DB8"/>
    <w:rsid w:val="00A93C47"/>
    <w:rsid w:val="00AA1FF8"/>
    <w:rsid w:val="00AB4971"/>
    <w:rsid w:val="00AD61B2"/>
    <w:rsid w:val="00B17940"/>
    <w:rsid w:val="00B35C4A"/>
    <w:rsid w:val="00B95C2D"/>
    <w:rsid w:val="00BA06AD"/>
    <w:rsid w:val="00BB6543"/>
    <w:rsid w:val="00BC6920"/>
    <w:rsid w:val="00BD61A6"/>
    <w:rsid w:val="00BE6D4C"/>
    <w:rsid w:val="00C04F55"/>
    <w:rsid w:val="00C213B9"/>
    <w:rsid w:val="00C452FA"/>
    <w:rsid w:val="00C72B10"/>
    <w:rsid w:val="00C758CD"/>
    <w:rsid w:val="00C835E4"/>
    <w:rsid w:val="00CB0623"/>
    <w:rsid w:val="00CC545D"/>
    <w:rsid w:val="00CD6C8E"/>
    <w:rsid w:val="00D04D71"/>
    <w:rsid w:val="00D06B98"/>
    <w:rsid w:val="00D246CA"/>
    <w:rsid w:val="00D304FF"/>
    <w:rsid w:val="00D37401"/>
    <w:rsid w:val="00D4071C"/>
    <w:rsid w:val="00D606EA"/>
    <w:rsid w:val="00D6203D"/>
    <w:rsid w:val="00D92D06"/>
    <w:rsid w:val="00DD012E"/>
    <w:rsid w:val="00DE75F2"/>
    <w:rsid w:val="00E073A5"/>
    <w:rsid w:val="00E15D28"/>
    <w:rsid w:val="00E23B80"/>
    <w:rsid w:val="00E32563"/>
    <w:rsid w:val="00EB77B1"/>
    <w:rsid w:val="00ED7476"/>
    <w:rsid w:val="00EE10FD"/>
    <w:rsid w:val="00F00830"/>
    <w:rsid w:val="00F1148C"/>
    <w:rsid w:val="00F11CDC"/>
    <w:rsid w:val="00F24B3B"/>
    <w:rsid w:val="00F31B12"/>
    <w:rsid w:val="00F3665D"/>
    <w:rsid w:val="00F37432"/>
    <w:rsid w:val="00F53D5E"/>
    <w:rsid w:val="00F62613"/>
    <w:rsid w:val="00F66438"/>
    <w:rsid w:val="00F91A67"/>
    <w:rsid w:val="00FC0424"/>
    <w:rsid w:val="00FF08CC"/>
    <w:rsid w:val="00FF2C09"/>
    <w:rsid w:val="71382F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Date"/>
    <w:basedOn w:val="1"/>
    <w:next w:val="1"/>
    <w:link w:val="10"/>
    <w:semiHidden/>
    <w:unhideWhenUsed/>
    <w:uiPriority w:val="99"/>
    <w:pPr>
      <w:ind w:left="100" w:leftChars="2500"/>
    </w:pPr>
  </w:style>
  <w:style w:type="paragraph" w:styleId="3">
    <w:name w:val="Balloon Text"/>
    <w:basedOn w:val="1"/>
    <w:link w:val="11"/>
    <w:semiHidden/>
    <w:unhideWhenUsed/>
    <w:uiPriority w:val="99"/>
    <w:rPr>
      <w:sz w:val="18"/>
      <w:szCs w:val="18"/>
    </w:rPr>
  </w:style>
  <w:style w:type="paragraph" w:styleId="4">
    <w:name w:val="footer"/>
    <w:basedOn w:val="1"/>
    <w:link w:val="8"/>
    <w:uiPriority w:val="99"/>
    <w:pPr>
      <w:tabs>
        <w:tab w:val="center" w:pos="4153"/>
        <w:tab w:val="right" w:pos="8306"/>
      </w:tabs>
      <w:snapToGrid w:val="0"/>
      <w:jc w:val="left"/>
    </w:pPr>
    <w:rPr>
      <w:sz w:val="18"/>
    </w:rPr>
  </w:style>
  <w:style w:type="paragraph" w:styleId="5">
    <w:name w:val="header"/>
    <w:basedOn w:val="1"/>
    <w:link w:val="9"/>
    <w:semiHidden/>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8">
    <w:name w:val="页脚 字符"/>
    <w:basedOn w:val="7"/>
    <w:link w:val="4"/>
    <w:uiPriority w:val="99"/>
    <w:rPr>
      <w:rFonts w:ascii="Times New Roman" w:hAnsi="Times New Roman" w:eastAsia="宋体" w:cs="Times New Roman"/>
      <w:sz w:val="18"/>
      <w:szCs w:val="20"/>
    </w:rPr>
  </w:style>
  <w:style w:type="character" w:customStyle="1" w:styleId="9">
    <w:name w:val="页眉 字符"/>
    <w:basedOn w:val="7"/>
    <w:link w:val="5"/>
    <w:semiHidden/>
    <w:uiPriority w:val="99"/>
    <w:rPr>
      <w:rFonts w:ascii="Times New Roman" w:hAnsi="Times New Roman" w:eastAsia="宋体" w:cs="Times New Roman"/>
      <w:sz w:val="18"/>
      <w:szCs w:val="18"/>
    </w:rPr>
  </w:style>
  <w:style w:type="character" w:customStyle="1" w:styleId="10">
    <w:name w:val="日期 字符"/>
    <w:basedOn w:val="7"/>
    <w:link w:val="2"/>
    <w:semiHidden/>
    <w:uiPriority w:val="99"/>
    <w:rPr>
      <w:rFonts w:ascii="Times New Roman" w:hAnsi="Times New Roman" w:eastAsia="宋体" w:cs="Times New Roman"/>
      <w:szCs w:val="20"/>
    </w:rPr>
  </w:style>
  <w:style w:type="character" w:customStyle="1" w:styleId="11">
    <w:name w:val="批注框文本 字符"/>
    <w:basedOn w:val="7"/>
    <w:link w:val="3"/>
    <w:semiHidden/>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oleObject" Target="embeddings/oleObject1.bin"/><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 (Beijing) Limited</Company>
  <Pages>14</Pages>
  <Words>1077</Words>
  <Characters>6141</Characters>
  <Lines>51</Lines>
  <Paragraphs>14</Paragraphs>
  <TotalTime>586</TotalTime>
  <ScaleCrop>false</ScaleCrop>
  <LinksUpToDate>false</LinksUpToDate>
  <CharactersWithSpaces>7204</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2017-01-18T06:49:00Z</dcterms:created>
  <dc:creator>Lenovo User</dc:creator>
  <cp:lastModifiedBy>洪硕</cp:lastModifiedBy>
  <dcterms:modified xsi:type="dcterms:W3CDTF">2023-09-14T06:24:54Z</dcterms:modified>
  <cp:revision>106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C7136AEEB9A644A08A1F3F23542DDBF5_12</vt:lpwstr>
  </property>
</Properties>
</file>