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312" w:beforeLines="100" w:after="312" w:afterLines="100" w:line="720" w:lineRule="exact"/>
        <w:jc w:val="center"/>
        <w:rPr>
          <w:rFonts w:ascii="方正小标宋_GBK" w:hAnsi="黑体" w:eastAsia="方正小标宋_GBK"/>
          <w:sz w:val="44"/>
          <w:szCs w:val="44"/>
        </w:rPr>
      </w:pPr>
      <w:bookmarkStart w:id="0" w:name="_Hlk53150471"/>
      <w:r>
        <w:rPr>
          <w:rFonts w:hint="eastAsia" w:ascii="方正小标宋_GBK" w:hAnsi="黑体" w:eastAsia="方正小标宋_GBK"/>
          <w:sz w:val="44"/>
          <w:szCs w:val="44"/>
        </w:rPr>
        <w:t xml:space="preserve">2020年度中关村知识产权领军和重点示范 </w:t>
      </w:r>
      <w:r>
        <w:rPr>
          <w:rFonts w:ascii="方正小标宋_GBK" w:hAnsi="黑体" w:eastAsia="方正小标宋_GBK"/>
          <w:sz w:val="44"/>
          <w:szCs w:val="44"/>
        </w:rPr>
        <w:t xml:space="preserve"> </w:t>
      </w:r>
      <w:r>
        <w:rPr>
          <w:rFonts w:hint="eastAsia" w:ascii="方正小标宋_GBK" w:hAnsi="黑体" w:eastAsia="方正小标宋_GBK"/>
          <w:sz w:val="44"/>
          <w:szCs w:val="44"/>
        </w:rPr>
        <w:t>企业名单</w:t>
      </w:r>
    </w:p>
    <w:bookmarkEnd w:id="0"/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一、领军企业名单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8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1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京东方科技集团股份有限公司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2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北京百度网讯科技有限公司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3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北京小米移动软件有限公司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4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联想(北京)有限公司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5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北京奇艺世纪科技有限公司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6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北京京东尚科信息技术有限公司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7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北京嘀嘀无限科技发展有限公司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8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40"/>
              </w:rPr>
            </w:pPr>
            <w:r>
              <w:rPr>
                <w:rFonts w:hint="eastAsia" w:ascii="仿宋_GB2312" w:eastAsia="仿宋_GB2312"/>
                <w:sz w:val="32"/>
                <w:szCs w:val="40"/>
              </w:rPr>
              <w:t>北京达佳互联信息技术有限公司</w:t>
            </w:r>
          </w:p>
        </w:tc>
      </w:tr>
    </w:tbl>
    <w:p>
      <w:pPr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二、重点示范企业名单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88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北京字节跳动网络技术有限公司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北京三快在线科技有限公司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北京京东世纪贸易有限公司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北京新能源汽车股份有限公司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北京京东方光电科技有限公司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中国运载火箭技术研究院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中国恩菲工程技术有限公司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全球能源互联网研究院有限公司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北京京东方显示技术有限公司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中交路桥建设有限公司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国网信息通信产业集团有限公司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北京长城华冠汽车科技股份有限公司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航天信息股份有限公司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北京迈格威科技有限公司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北京云迹科技有限公司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北新集团建材股份有限公司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北京金山安全软件有限公司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北京旷视科技有限公司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中冶京诚工程技术有限公司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北京市商汤科技开发有限公司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北京金山云网络技术有限公司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北汽福田汽车股份有限公司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北京机械设备研究所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北京搜狗科技发展有限公司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北京奇虎科技有限公司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中国核电工程有限公司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北京北方华创微电子装备有限公司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中国建筑土木建设有限公司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交通运输部公路科学研究所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中海油能源发展股份有限公司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北京经纬恒润科技有限公司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北京汽车研究总院有限公司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中国航天空气动力技术研究院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中冶建筑研究总院有限公司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掌阅科技股份有限公司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北京空间飞行器总体设计部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北京金山云科技有限公司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中国北方车辆研究所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北京计算机技术及应用研究所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北京全路通信信号研究设计院集团有限公司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华北电力科学研究院有限责任公司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北京航天控制仪器研究所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北京环境特性研究所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中国神华煤制油化工有限公司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纳恩博(北京)科技有限公司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北京市燃气集团有限责任公司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北京金风科创风电设备有限公司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北京地平线机器人技术研发有限公司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同方威视技术股份有限公司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北京航天发射技术研究所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北京铂阳顶荣光伏科技有限公司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天地科技股份有限公司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第四范式(北京)技术有限公司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中铁六局集团有限公司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中国华冶科工集团有限公司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中铁电气化局集团有限公司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中铁十六局集团有限公司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北京电子工程总体研究所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飞天诚信科技股份有限公司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北京集创北方科技股份有限公司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63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北京极智嘉科技有限公司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64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北京国双科技有限公司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65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君泰创新(北京)科技有限公司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66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北京外号信息技术有限公司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67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乐普(北京)医疗器械股份有限公司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68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北京小度信息科技有限公司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69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北京汉能光伏投资有限公司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70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北京大米科技有限公司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71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出门问问信息科技有限公司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72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北京猎户星空科技有限公司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73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北京七鑫易维信息技术有限公司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74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北京智行者科技有限公司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75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奇安信科技集团股份有限公司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76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北大方正集团有限公司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77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北京汽车集团有限公司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78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汉王科技股份有限公司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79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北京金堤科技有限公司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80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北京现代汽车有限公司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81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西门子(中国)有限公司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82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北京智米科技有限公司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83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央视动画有限公司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84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北京东土科技股份有限公司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85</w:t>
            </w:r>
          </w:p>
        </w:tc>
        <w:tc>
          <w:tcPr>
            <w:tcW w:w="6883" w:type="dxa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北京纳通科技集团有限公司</w:t>
            </w:r>
          </w:p>
        </w:tc>
      </w:tr>
    </w:tbl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2020-10-30T04:17:45Z</dcterms:created>
  <dc:creator>liufang</dc:creator>
  <cp:lastModifiedBy>颉昀</cp:lastModifiedBy>
  <dcterms:modified xsi:type="dcterms:W3CDTF">2020-10-30T04:17:54Z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