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adjustRightInd w:val="0"/>
        <w:snapToGrid w:val="0"/>
        <w:spacing w:before="0" w:beforeAutospacing="0" w:after="0" w:afterAutospacing="0" w:line="560" w:lineRule="exact"/>
        <w:jc w:val="left"/>
        <w:rPr>
          <w:rFonts w:hint="eastAsia" w:ascii="方正小标宋_GBK" w:eastAsia="方正小标宋_GBK" w:cs="宋体"/>
          <w:spacing w:val="-10"/>
          <w:sz w:val="44"/>
          <w:szCs w:val="44"/>
        </w:rPr>
      </w:pPr>
      <w:r>
        <w:rPr>
          <w:rFonts w:hint="eastAsia" w:ascii="仿宋_GB2312" w:hAnsi="Calibri" w:eastAsia="仿宋_GB2312"/>
          <w:b/>
          <w:bCs/>
          <w:sz w:val="32"/>
          <w:szCs w:val="32"/>
          <w:u w:val="none"/>
          <w:lang w:eastAsia="zh-CN"/>
        </w:rPr>
        <w:t>附件</w:t>
      </w:r>
      <w:r>
        <w:rPr>
          <w:rFonts w:hint="eastAsia" w:ascii="仿宋_GB2312" w:hAnsi="Calibri" w:eastAsia="仿宋_GB2312"/>
          <w:b/>
          <w:bCs/>
          <w:sz w:val="32"/>
          <w:szCs w:val="32"/>
          <w:u w:val="none"/>
          <w:lang w:val="en-US" w:eastAsia="zh-CN"/>
        </w:rPr>
        <w:t>1</w:t>
      </w:r>
    </w:p>
    <w:p>
      <w:pPr>
        <w:autoSpaceDN w:val="0"/>
        <w:adjustRightInd w:val="0"/>
        <w:snapToGrid w:val="0"/>
        <w:spacing w:line="560" w:lineRule="exact"/>
        <w:jc w:val="center"/>
        <w:rPr>
          <w:rFonts w:ascii="方正小标宋_GBK" w:eastAsia="方正小标宋_GBK" w:cs="宋体"/>
          <w:spacing w:val="-10"/>
          <w:sz w:val="44"/>
          <w:szCs w:val="44"/>
        </w:rPr>
      </w:pPr>
      <w:r>
        <w:rPr>
          <w:rFonts w:hint="eastAsia" w:ascii="方正小标宋_GBK" w:eastAsia="方正小标宋_GBK" w:cs="宋体"/>
          <w:spacing w:val="-10"/>
          <w:sz w:val="44"/>
          <w:szCs w:val="44"/>
        </w:rPr>
        <w:t>《</w:t>
      </w:r>
      <w:r>
        <w:rPr>
          <w:rFonts w:hint="eastAsia" w:ascii="方正小标宋_GBK" w:eastAsia="方正小标宋_GBK" w:cs="宋体"/>
          <w:spacing w:val="-10"/>
          <w:sz w:val="44"/>
          <w:szCs w:val="44"/>
          <w:lang w:val="en-US" w:eastAsia="zh-CN"/>
        </w:rPr>
        <w:t>&lt;</w:t>
      </w:r>
      <w:r>
        <w:rPr>
          <w:rFonts w:hint="eastAsia" w:ascii="方正小标宋_GBK" w:eastAsia="方正小标宋_GBK" w:cs="宋体"/>
          <w:spacing w:val="-10"/>
          <w:sz w:val="44"/>
          <w:szCs w:val="44"/>
        </w:rPr>
        <w:t>关于精准支持中关村国家自主创新示范区</w:t>
      </w:r>
    </w:p>
    <w:p>
      <w:pPr>
        <w:autoSpaceDN w:val="0"/>
        <w:adjustRightInd w:val="0"/>
        <w:snapToGrid w:val="0"/>
        <w:spacing w:line="560" w:lineRule="exact"/>
        <w:jc w:val="center"/>
        <w:rPr>
          <w:rFonts w:hint="eastAsia" w:ascii="方正小标宋_GBK" w:eastAsia="方正小标宋_GBK" w:cs="宋体"/>
          <w:sz w:val="44"/>
          <w:szCs w:val="44"/>
          <w:lang w:val="en-US" w:eastAsia="zh-CN"/>
        </w:rPr>
      </w:pPr>
      <w:r>
        <w:rPr>
          <w:rFonts w:hint="eastAsia" w:ascii="方正小标宋_GBK" w:eastAsia="方正小标宋_GBK" w:cs="宋体"/>
          <w:sz w:val="44"/>
          <w:szCs w:val="44"/>
        </w:rPr>
        <w:t>重大前沿项目与创新平台建设的若干措施</w:t>
      </w:r>
      <w:r>
        <w:rPr>
          <w:rFonts w:hint="eastAsia" w:ascii="方正小标宋_GBK" w:eastAsia="方正小标宋_GBK" w:cs="宋体"/>
          <w:sz w:val="44"/>
          <w:szCs w:val="44"/>
          <w:lang w:val="en-US" w:eastAsia="zh-CN"/>
        </w:rPr>
        <w:t>&gt;</w:t>
      </w:r>
    </w:p>
    <w:p>
      <w:pPr>
        <w:autoSpaceDN w:val="0"/>
        <w:adjustRightInd w:val="0"/>
        <w:snapToGrid w:val="0"/>
        <w:spacing w:line="560" w:lineRule="exact"/>
        <w:jc w:val="center"/>
        <w:rPr>
          <w:rFonts w:ascii="方正小标宋_GBK" w:eastAsia="方正小标宋_GBK" w:cs="宋体"/>
          <w:sz w:val="44"/>
          <w:szCs w:val="44"/>
        </w:rPr>
      </w:pPr>
      <w:r>
        <w:rPr>
          <w:rFonts w:hint="eastAsia" w:ascii="方正小标宋_GBK" w:eastAsia="方正小标宋_GBK" w:cs="宋体"/>
          <w:sz w:val="44"/>
          <w:szCs w:val="44"/>
        </w:rPr>
        <w:t>实施细则》（征求意见稿）</w:t>
      </w:r>
    </w:p>
    <w:p>
      <w:pPr>
        <w:pStyle w:val="3"/>
        <w:rPr>
          <w:rFonts w:hint="eastAsia" w:ascii="仿宋_GB2312" w:eastAsia="仿宋_GB2312" w:cs="宋体"/>
          <w:sz w:val="32"/>
          <w:szCs w:val="32"/>
        </w:rPr>
      </w:pPr>
    </w:p>
    <w:p>
      <w:pPr>
        <w:autoSpaceDN w:val="0"/>
        <w:adjustRightInd w:val="0"/>
        <w:snapToGrid w:val="0"/>
        <w:spacing w:line="560" w:lineRule="exact"/>
        <w:jc w:val="center"/>
        <w:outlineLvl w:val="0"/>
        <w:rPr>
          <w:rFonts w:ascii="黑体" w:eastAsia="黑体" w:cs="宋体"/>
          <w:sz w:val="32"/>
          <w:szCs w:val="32"/>
        </w:rPr>
      </w:pPr>
      <w:r>
        <w:rPr>
          <w:rFonts w:hint="eastAsia" w:ascii="黑体" w:eastAsia="黑体" w:cs="宋体"/>
          <w:sz w:val="32"/>
          <w:szCs w:val="32"/>
        </w:rPr>
        <w:t>第一章  总则</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第一条  为贯彻</w:t>
      </w:r>
      <w:r>
        <w:rPr>
          <w:rFonts w:hint="eastAsia" w:ascii="仿宋_GB2312" w:eastAsia="仿宋_GB2312" w:cs="宋体"/>
          <w:kern w:val="0"/>
          <w:sz w:val="32"/>
          <w:szCs w:val="32"/>
        </w:rPr>
        <w:t>落实</w:t>
      </w:r>
      <w:r>
        <w:rPr>
          <w:rFonts w:hint="eastAsia" w:ascii="仿宋_GB2312" w:eastAsia="仿宋_GB2312" w:cs="宋体"/>
          <w:sz w:val="32"/>
          <w:szCs w:val="32"/>
        </w:rPr>
        <w:t>北京市加快科技创新发展新一代信息技术等十个高精尖产业的指导意见，扎实推进《中关村国家自主创新示范区创新引领高质量发展行动计划（2018-2022年）》（中示区组发〔2018〕4号），</w:t>
      </w:r>
      <w:r>
        <w:rPr>
          <w:rFonts w:hint="eastAsia" w:ascii="仿宋_GB2312" w:eastAsia="仿宋_GB2312"/>
          <w:sz w:val="32"/>
          <w:szCs w:val="32"/>
        </w:rPr>
        <w:t>深入实施创新驱动发展战略，推动中关村国家自主创新示范区（以下简称中关村示范区）加快构建高精尖经济结构</w:t>
      </w:r>
      <w:r>
        <w:rPr>
          <w:rFonts w:hint="eastAsia" w:ascii="仿宋_GB2312" w:eastAsia="仿宋_GB2312" w:cs="宋体"/>
          <w:sz w:val="32"/>
          <w:szCs w:val="32"/>
        </w:rPr>
        <w:t>，根据《关于精准支持中关村国家自主创新示范区重大前沿项目与创新平台建设的若干措施》</w:t>
      </w:r>
      <w:r>
        <w:rPr>
          <w:rFonts w:hint="eastAsia" w:ascii="仿宋_GB2312" w:eastAsia="仿宋_GB2312" w:cs="宋体"/>
          <w:kern w:val="0"/>
          <w:sz w:val="32"/>
          <w:szCs w:val="32"/>
        </w:rPr>
        <w:t>（中科园发〔2</w:t>
      </w:r>
      <w:bookmarkStart w:id="0" w:name="_GoBack"/>
      <w:bookmarkEnd w:id="0"/>
      <w:r>
        <w:rPr>
          <w:rFonts w:hint="eastAsia" w:ascii="仿宋_GB2312" w:eastAsia="仿宋_GB2312" w:cs="宋体"/>
          <w:kern w:val="0"/>
          <w:sz w:val="32"/>
          <w:szCs w:val="32"/>
        </w:rPr>
        <w:t>019〕11号）（以下简称《若干措施》），制定本</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第二条  本</w:t>
      </w:r>
      <w:r>
        <w:rPr>
          <w:rFonts w:hint="eastAsia" w:ascii="仿宋_GB2312" w:eastAsia="仿宋_GB2312" w:cs="宋体"/>
          <w:kern w:val="0"/>
          <w:sz w:val="32"/>
          <w:szCs w:val="32"/>
          <w:lang w:eastAsia="zh-CN"/>
        </w:rPr>
        <w:t>实施细则</w:t>
      </w:r>
      <w:r>
        <w:rPr>
          <w:rFonts w:hint="eastAsia" w:ascii="仿宋_GB2312" w:eastAsia="仿宋_GB2312" w:cs="宋体"/>
          <w:sz w:val="32"/>
          <w:szCs w:val="32"/>
        </w:rPr>
        <w:t>支持对象，是指注册在</w:t>
      </w:r>
      <w:r>
        <w:rPr>
          <w:rFonts w:hint="eastAsia" w:ascii="仿宋_GB2312" w:eastAsia="仿宋_GB2312" w:cs="宋体"/>
          <w:kern w:val="0"/>
          <w:sz w:val="32"/>
          <w:szCs w:val="32"/>
        </w:rPr>
        <w:t>中关村国家自主创新示范区内的</w:t>
      </w:r>
      <w:r>
        <w:rPr>
          <w:rFonts w:hint="eastAsia" w:ascii="仿宋_GB2312" w:eastAsia="仿宋_GB2312"/>
          <w:sz w:val="32"/>
          <w:szCs w:val="32"/>
        </w:rPr>
        <w:t>企业、高校院所、新型研发机构、社会组织</w:t>
      </w:r>
      <w:r>
        <w:rPr>
          <w:rFonts w:hint="eastAsia" w:ascii="仿宋_GB2312" w:eastAsia="仿宋_GB2312" w:cs="宋体"/>
          <w:kern w:val="0"/>
          <w:sz w:val="32"/>
          <w:szCs w:val="32"/>
        </w:rPr>
        <w:t>（</w:t>
      </w:r>
      <w:r>
        <w:rPr>
          <w:rFonts w:hint="eastAsia" w:ascii="仿宋_GB2312" w:eastAsia="仿宋_GB2312" w:cs="宋体"/>
          <w:sz w:val="32"/>
          <w:szCs w:val="32"/>
        </w:rPr>
        <w:t>在中关村示范区内开展工作或会员大部分在中关村示范区，并已在民政部门登记的非营利性组织，包括</w:t>
      </w:r>
      <w:r>
        <w:rPr>
          <w:rFonts w:hint="eastAsia" w:ascii="仿宋_GB2312" w:eastAsia="仿宋_GB2312" w:cs="宋体"/>
          <w:kern w:val="0"/>
          <w:sz w:val="32"/>
          <w:szCs w:val="32"/>
        </w:rPr>
        <w:t>社会团体、民办非企业单位等）、硬科技孵化器、研究型医院等各类创新创业主体。</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第三条  本</w:t>
      </w:r>
      <w:r>
        <w:rPr>
          <w:rFonts w:hint="eastAsia" w:ascii="仿宋_GB2312" w:eastAsia="仿宋_GB2312" w:cs="宋体"/>
          <w:kern w:val="0"/>
          <w:sz w:val="32"/>
          <w:szCs w:val="32"/>
          <w:lang w:eastAsia="zh-CN"/>
        </w:rPr>
        <w:t>实施细则</w:t>
      </w:r>
      <w:r>
        <w:rPr>
          <w:rFonts w:hint="eastAsia" w:ascii="仿宋_GB2312" w:eastAsia="仿宋_GB2312" w:cs="宋体"/>
          <w:sz w:val="32"/>
          <w:szCs w:val="32"/>
        </w:rPr>
        <w:t>支持的重点产业为北京市加快科技创新发展新一代信息技术等十个高精尖产业指导意见确定的产业领域和《中关村国家自主创新示范区创新引领高质量发展行动计划（2018-2022年）》及《中关村国家自主创新示范区统筹发展规划（2020年-2035年）》确定的重点发展产业，</w:t>
      </w:r>
      <w:r>
        <w:rPr>
          <w:rFonts w:hint="eastAsia" w:ascii="仿宋_GB2312" w:eastAsia="仿宋_GB2312"/>
          <w:sz w:val="32"/>
          <w:szCs w:val="32"/>
        </w:rPr>
        <w:t>主要包括人工智能、集成电路、医药健康、机器人与智能制造、新能源与节能环保、新材料、现代交通和现代服务业等</w:t>
      </w:r>
      <w:r>
        <w:rPr>
          <w:rFonts w:hint="eastAsia" w:ascii="仿宋_GB2312" w:eastAsia="仿宋_GB2312" w:cs="宋体"/>
          <w:sz w:val="32"/>
          <w:szCs w:val="32"/>
        </w:rPr>
        <w:t>。</w:t>
      </w:r>
    </w:p>
    <w:p>
      <w:pPr>
        <w:overflowPunct w:val="0"/>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第四条  本</w:t>
      </w:r>
      <w:r>
        <w:rPr>
          <w:rFonts w:hint="eastAsia" w:ascii="仿宋_GB2312" w:eastAsia="仿宋_GB2312" w:cs="宋体"/>
          <w:kern w:val="0"/>
          <w:sz w:val="32"/>
          <w:szCs w:val="32"/>
          <w:lang w:eastAsia="zh-CN"/>
        </w:rPr>
        <w:t>实施细则</w:t>
      </w:r>
      <w:r>
        <w:rPr>
          <w:rFonts w:hint="eastAsia" w:ascii="仿宋_GB2312" w:eastAsia="仿宋_GB2312" w:cs="宋体"/>
          <w:sz w:val="32"/>
          <w:szCs w:val="32"/>
        </w:rPr>
        <w:t>支持的项目金额，根据中关村科技园区管理委员会（以下简称“中关村管委会”）年度财政资金预算情况统筹安排。</w:t>
      </w:r>
    </w:p>
    <w:p>
      <w:pPr>
        <w:pStyle w:val="2"/>
        <w:adjustRightInd w:val="0"/>
        <w:snapToGrid w:val="0"/>
        <w:spacing w:line="560" w:lineRule="exact"/>
        <w:rPr>
          <w:rFonts w:ascii="仿宋_GB2312" w:eastAsia="仿宋_GB2312" w:cs="宋体"/>
          <w:b w:val="0"/>
          <w:sz w:val="32"/>
          <w:szCs w:val="32"/>
        </w:rPr>
      </w:pPr>
    </w:p>
    <w:p>
      <w:pPr>
        <w:autoSpaceDN w:val="0"/>
        <w:adjustRightInd w:val="0"/>
        <w:snapToGrid w:val="0"/>
        <w:spacing w:line="560" w:lineRule="exact"/>
        <w:jc w:val="center"/>
        <w:outlineLvl w:val="0"/>
        <w:rPr>
          <w:rFonts w:ascii="黑体" w:eastAsia="黑体" w:cs="宋体"/>
          <w:sz w:val="32"/>
          <w:szCs w:val="32"/>
        </w:rPr>
      </w:pPr>
      <w:r>
        <w:rPr>
          <w:rFonts w:hint="eastAsia" w:ascii="黑体" w:eastAsia="黑体" w:cs="宋体"/>
          <w:sz w:val="32"/>
          <w:szCs w:val="32"/>
        </w:rPr>
        <w:t>第二章  公开征集类项目支持内容与条件</w:t>
      </w:r>
    </w:p>
    <w:p>
      <w:pPr>
        <w:overflowPunct w:val="0"/>
        <w:adjustRightInd w:val="0"/>
        <w:snapToGrid w:val="0"/>
        <w:spacing w:line="560" w:lineRule="exact"/>
        <w:ind w:firstLine="640" w:firstLineChars="200"/>
        <w:outlineLvl w:val="1"/>
        <w:rPr>
          <w:rFonts w:ascii="仿宋_GB2312" w:eastAsia="仿宋_GB2312" w:cs="宋体"/>
          <w:sz w:val="32"/>
          <w:szCs w:val="32"/>
        </w:rPr>
      </w:pPr>
      <w:r>
        <w:rPr>
          <w:rFonts w:hint="eastAsia" w:ascii="仿宋_GB2312" w:eastAsia="仿宋_GB2312" w:cs="宋体"/>
          <w:sz w:val="32"/>
          <w:szCs w:val="32"/>
        </w:rPr>
        <w:t xml:space="preserve">第五条  </w:t>
      </w:r>
      <w:r>
        <w:rPr>
          <w:rFonts w:hint="eastAsia" w:ascii="仿宋_GB2312" w:eastAsia="仿宋_GB2312" w:cs="仿宋_GB2312"/>
          <w:sz w:val="32"/>
          <w:szCs w:val="32"/>
        </w:rPr>
        <w:t>支持</w:t>
      </w:r>
      <w:r>
        <w:rPr>
          <w:rFonts w:ascii="仿宋_GB2312" w:eastAsia="仿宋_GB2312" w:cs="仿宋_GB2312"/>
          <w:sz w:val="32"/>
          <w:szCs w:val="32"/>
        </w:rPr>
        <w:t>关键核心技术攻关</w:t>
      </w:r>
      <w:r>
        <w:rPr>
          <w:rFonts w:hint="eastAsia" w:ascii="仿宋_GB2312" w:eastAsia="仿宋_GB2312" w:cs="仿宋_GB2312"/>
          <w:sz w:val="32"/>
          <w:szCs w:val="32"/>
        </w:rPr>
        <w:t>和高精尖成果产业化</w:t>
      </w:r>
      <w:r>
        <w:rPr>
          <w:rFonts w:hint="eastAsia" w:ascii="仿宋_GB2312" w:eastAsia="仿宋_GB2312" w:cs="宋体"/>
          <w:sz w:val="32"/>
          <w:szCs w:val="32"/>
        </w:rPr>
        <w:t>。</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（一）支持内容</w:t>
      </w:r>
    </w:p>
    <w:p>
      <w:pPr>
        <w:autoSpaceDN w:val="0"/>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支持中关村企业聚焦产业发展关键环节，通过“揭榜挂帅”、公开征集或定向邀约等方式，遴选研发合作单位和团队，组建产学研协同、上下游衔接的联合创新共同体，对</w:t>
      </w:r>
      <w:r>
        <w:rPr>
          <w:rFonts w:ascii="仿宋_GB2312" w:eastAsia="仿宋_GB2312" w:cs="仿宋_GB2312"/>
          <w:sz w:val="32"/>
          <w:szCs w:val="32"/>
        </w:rPr>
        <w:t>制约</w:t>
      </w:r>
      <w:r>
        <w:rPr>
          <w:rFonts w:hint="eastAsia" w:ascii="仿宋_GB2312" w:eastAsia="仿宋_GB2312" w:cs="仿宋_GB2312"/>
          <w:sz w:val="32"/>
          <w:szCs w:val="32"/>
        </w:rPr>
        <w:t>产业</w:t>
      </w:r>
      <w:r>
        <w:rPr>
          <w:rFonts w:ascii="仿宋_GB2312" w:eastAsia="仿宋_GB2312" w:cs="仿宋_GB2312"/>
          <w:sz w:val="32"/>
          <w:szCs w:val="32"/>
        </w:rPr>
        <w:t>发展的</w:t>
      </w:r>
      <w:r>
        <w:rPr>
          <w:rFonts w:hint="eastAsia" w:ascii="仿宋_GB2312" w:eastAsia="仿宋_GB2312" w:cs="仿宋_GB2312"/>
          <w:sz w:val="32"/>
          <w:szCs w:val="32"/>
        </w:rPr>
        <w:t>关键核心技术、重大共性技术、前沿颠覆性技术及战略预研技术进行集中攻关，开展高精尖成果产业化，保障产业链供应链安全可靠，提升产业竞争力。</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（二）支持条件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w:t>
      </w:r>
    </w:p>
    <w:p>
      <w:pPr>
        <w:autoSpaceDN w:val="0"/>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（1）申报企业应符合本</w:t>
      </w:r>
      <w:r>
        <w:rPr>
          <w:rFonts w:hint="eastAsia" w:ascii="仿宋_GB2312" w:eastAsia="仿宋_GB2312" w:cs="仿宋_GB2312"/>
          <w:sz w:val="32"/>
          <w:szCs w:val="32"/>
          <w:lang w:eastAsia="zh-CN"/>
        </w:rPr>
        <w:t>实施细则</w:t>
      </w:r>
      <w:r>
        <w:rPr>
          <w:rFonts w:hint="eastAsia" w:ascii="仿宋_GB2312" w:eastAsia="仿宋_GB2312" w:cs="仿宋_GB2312"/>
          <w:sz w:val="32"/>
          <w:szCs w:val="32"/>
        </w:rPr>
        <w:t>第二条规定，主营业务符合第三条确定的重点产业领域。</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（2）申报</w:t>
      </w:r>
      <w:r>
        <w:rPr>
          <w:rFonts w:hint="eastAsia" w:ascii="仿宋_GB2312" w:eastAsia="仿宋_GB2312" w:cs="宋体"/>
          <w:sz w:val="32"/>
          <w:szCs w:val="32"/>
        </w:rPr>
        <w:t>企业技术研发实力强，具有产业链供应链整合构建能力，能够代表中关村参与全球产业竞争。</w:t>
      </w:r>
    </w:p>
    <w:p>
      <w:pPr>
        <w:autoSpaceDN w:val="0"/>
        <w:adjustRightInd w:val="0"/>
        <w:snapToGrid w:val="0"/>
        <w:spacing w:line="560" w:lineRule="exact"/>
        <w:ind w:firstLine="640" w:firstLineChars="200"/>
        <w:rPr>
          <w:rFonts w:ascii="仿宋_GB2312" w:eastAsia="仿宋_GB2312" w:cs="宋体"/>
          <w:sz w:val="32"/>
          <w:szCs w:val="32"/>
        </w:rPr>
      </w:pPr>
      <w:r>
        <w:rPr>
          <w:rFonts w:ascii="仿宋_GB2312" w:eastAsia="仿宋_GB2312" w:cs="宋体"/>
          <w:sz w:val="32"/>
          <w:szCs w:val="32"/>
        </w:rPr>
        <w:t>2</w:t>
      </w:r>
      <w:r>
        <w:rPr>
          <w:rFonts w:hint="eastAsia" w:ascii="仿宋_GB2312" w:eastAsia="仿宋_GB2312" w:cs="宋体"/>
          <w:sz w:val="32"/>
          <w:szCs w:val="32"/>
        </w:rPr>
        <w:t>.项目条件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项目应以</w:t>
      </w:r>
      <w:r>
        <w:rPr>
          <w:rFonts w:hint="eastAsia" w:ascii="仿宋_GB2312" w:hAnsi="Calibri" w:eastAsia="仿宋_GB2312" w:cs="Calibri"/>
          <w:sz w:val="32"/>
        </w:rPr>
        <w:t>核心企业关键需求和产业发展为出发点，</w:t>
      </w:r>
      <w:r>
        <w:rPr>
          <w:rFonts w:hint="eastAsia" w:ascii="仿宋_GB2312" w:eastAsia="仿宋_GB2312" w:cs="宋体"/>
          <w:sz w:val="32"/>
          <w:szCs w:val="32"/>
        </w:rPr>
        <w:t>聚焦产业</w:t>
      </w:r>
      <w:r>
        <w:rPr>
          <w:rFonts w:hint="eastAsia" w:ascii="仿宋_GB2312" w:hAnsi="Calibri" w:eastAsia="仿宋_GB2312" w:cs="Calibri"/>
          <w:sz w:val="32"/>
        </w:rPr>
        <w:t>关键环节和共性技术，围绕关键核心技术、重大共性技术、前沿颠覆性技术及</w:t>
      </w:r>
      <w:r>
        <w:rPr>
          <w:rFonts w:hint="eastAsia" w:ascii="仿宋_GB2312" w:eastAsia="仿宋_GB2312" w:cs="仿宋_GB2312"/>
          <w:sz w:val="32"/>
          <w:szCs w:val="32"/>
        </w:rPr>
        <w:t>战略预研技术进行集中攻关，</w:t>
      </w:r>
      <w:r>
        <w:rPr>
          <w:rFonts w:hint="eastAsia" w:ascii="仿宋_GB2312" w:hAnsi="Calibri" w:eastAsia="仿宋_GB2312" w:cs="Calibri"/>
          <w:sz w:val="32"/>
        </w:rPr>
        <w:t>系统谋划解决企业和产业的实际问题，技术成果应进入核心企业供应链，补齐产业链条短板，引领带动产业的整体性提质增效。</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（三）支持额度</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按照不超过项目联合研发费用30%的比例给予支持，每个项目每家企业支持金额不超过 2000万元，</w:t>
      </w:r>
      <w:r>
        <w:rPr>
          <w:rFonts w:hint="eastAsia" w:ascii="仿宋_GB2312" w:eastAsia="仿宋_GB2312" w:cs="宋体"/>
          <w:sz w:val="32"/>
          <w:szCs w:val="32"/>
        </w:rPr>
        <w:t>分两次拨付，每次拨付最高不超过1000万元。项目立项后，对生产线建设、设备及材料购置、测试外协、人员费用、房屋租赁、贷款利息等联合研发总投入进行预算评审，按照预算审定金额的15%的比例给予资金支持；结题验收后，根据项目实施成效和项目结算审计，择优按照决算审定金额30%的比例，给予剩余资金支持。</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（四）申报材料</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1.《申报单位基本情况表》、企业营业执照副本复印件。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2.《中关村示范区核心技术攻关</w:t>
      </w:r>
      <w:r>
        <w:rPr>
          <w:rFonts w:hint="eastAsia" w:ascii="仿宋_GB2312" w:eastAsia="仿宋_GB2312" w:cs="仿宋_GB2312"/>
          <w:sz w:val="32"/>
          <w:szCs w:val="32"/>
        </w:rPr>
        <w:t>和高精尖成果产业化</w:t>
      </w:r>
      <w:r>
        <w:rPr>
          <w:rFonts w:hint="eastAsia" w:ascii="仿宋_GB2312" w:eastAsia="仿宋_GB2312" w:cs="宋体"/>
          <w:sz w:val="32"/>
          <w:szCs w:val="32"/>
        </w:rPr>
        <w:t>申报书》。</w:t>
      </w:r>
    </w:p>
    <w:p>
      <w:pPr>
        <w:overflowPunct w:val="0"/>
        <w:adjustRightInd w:val="0"/>
        <w:snapToGrid w:val="0"/>
        <w:spacing w:line="560" w:lineRule="exact"/>
        <w:ind w:firstLine="640" w:firstLineChars="200"/>
        <w:outlineLvl w:val="1"/>
        <w:rPr>
          <w:rFonts w:ascii="仿宋_GB2312" w:eastAsia="仿宋_GB2312" w:cs="宋体"/>
          <w:sz w:val="32"/>
          <w:szCs w:val="32"/>
        </w:rPr>
      </w:pPr>
      <w:r>
        <w:rPr>
          <w:rFonts w:hint="eastAsia" w:ascii="仿宋_GB2312" w:eastAsia="仿宋_GB2312" w:cs="宋体"/>
          <w:sz w:val="32"/>
          <w:szCs w:val="32"/>
        </w:rPr>
        <w:t>第六条  支持高精尖产业协同创新平台建设。</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（一）支持内容</w:t>
      </w:r>
    </w:p>
    <w:p>
      <w:pPr>
        <w:pStyle w:val="26"/>
        <w:spacing w:before="0" w:beforeAutospacing="0" w:line="560" w:lineRule="exact"/>
        <w:ind w:firstLine="640" w:firstLineChars="200"/>
        <w:rPr>
          <w:rFonts w:ascii="仿宋_GB2312" w:eastAsia="仿宋_GB2312"/>
          <w:sz w:val="32"/>
          <w:szCs w:val="32"/>
        </w:rPr>
      </w:pPr>
      <w:r>
        <w:rPr>
          <w:rFonts w:hint="eastAsia" w:ascii="仿宋_GB2312" w:eastAsia="仿宋_GB2312"/>
          <w:sz w:val="32"/>
          <w:szCs w:val="32"/>
        </w:rPr>
        <w:t>支持中关村企业和社会组织搭建高精尖产业协同创新平台，重点开展共性技术研发、开放共享创新和产线资源、开源开放技术平台建设等对产业发展有重大带动作用的专业服务</w:t>
      </w:r>
      <w:r>
        <w:rPr>
          <w:rFonts w:hint="eastAsia" w:ascii="仿宋_GB2312" w:eastAsia="仿宋_GB2312" w:cs="仿宋_GB2312"/>
          <w:sz w:val="32"/>
          <w:szCs w:val="32"/>
        </w:rPr>
        <w:t>，加速构建基于中关村自主创新技术产品和开源共性技术的产业生态</w:t>
      </w:r>
      <w:r>
        <w:rPr>
          <w:rFonts w:ascii="仿宋_GB2312" w:eastAsia="仿宋_GB2312" w:cs="仿宋_GB2312"/>
          <w:sz w:val="32"/>
          <w:szCs w:val="32"/>
        </w:rPr>
        <w:t>。</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（二）支持条件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（1）申报单位应符合本</w:t>
      </w:r>
      <w:r>
        <w:rPr>
          <w:rFonts w:hint="eastAsia" w:ascii="仿宋_GB2312" w:eastAsia="仿宋_GB2312" w:cs="宋体"/>
          <w:sz w:val="32"/>
          <w:szCs w:val="32"/>
          <w:lang w:eastAsia="zh-CN"/>
        </w:rPr>
        <w:t>实施细则</w:t>
      </w:r>
      <w:r>
        <w:rPr>
          <w:rFonts w:hint="eastAsia" w:ascii="仿宋_GB2312" w:eastAsia="仿宋_GB2312" w:cs="宋体"/>
          <w:sz w:val="32"/>
          <w:szCs w:val="32"/>
        </w:rPr>
        <w:t>第二条规定，主营业务符合第三条确定的重点产业领域。</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（2）联合申报单位及其主营业务应分别符合本</w:t>
      </w:r>
      <w:r>
        <w:rPr>
          <w:rFonts w:hint="eastAsia" w:ascii="仿宋_GB2312" w:eastAsia="仿宋_GB2312" w:cs="宋体"/>
          <w:sz w:val="32"/>
          <w:szCs w:val="32"/>
          <w:lang w:eastAsia="zh-CN"/>
        </w:rPr>
        <w:t>实施细则</w:t>
      </w:r>
      <w:r>
        <w:rPr>
          <w:rFonts w:hint="eastAsia" w:ascii="仿宋_GB2312" w:eastAsia="仿宋_GB2312" w:cs="宋体"/>
          <w:sz w:val="32"/>
          <w:szCs w:val="32"/>
        </w:rPr>
        <w:t>第二、三条规定，并与申报单位签订合作协议，明确主要职责和任务分工。</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bCs/>
          <w:kern w:val="0"/>
          <w:sz w:val="32"/>
          <w:szCs w:val="32"/>
        </w:rPr>
        <w:t>（3）申报单位应</w:t>
      </w:r>
      <w:r>
        <w:rPr>
          <w:rFonts w:hint="eastAsia" w:ascii="仿宋_GB2312" w:eastAsia="仿宋_GB2312" w:cs="宋体"/>
          <w:sz w:val="32"/>
          <w:szCs w:val="32"/>
        </w:rPr>
        <w:t>已纳入中关村</w:t>
      </w:r>
      <w:r>
        <w:rPr>
          <w:rFonts w:ascii="仿宋_GB2312" w:eastAsia="仿宋_GB2312" w:cs="宋体"/>
          <w:sz w:val="32"/>
          <w:szCs w:val="32"/>
        </w:rPr>
        <w:t>示范区</w:t>
      </w:r>
      <w:r>
        <w:rPr>
          <w:rFonts w:hint="eastAsia" w:ascii="仿宋_GB2312" w:eastAsia="仿宋_GB2312" w:cs="宋体"/>
          <w:sz w:val="32"/>
          <w:szCs w:val="32"/>
        </w:rPr>
        <w:t>高精尖产业协同创新</w:t>
      </w:r>
      <w:r>
        <w:rPr>
          <w:rFonts w:ascii="仿宋_GB2312" w:eastAsia="仿宋_GB2312" w:cs="宋体"/>
          <w:sz w:val="32"/>
          <w:szCs w:val="32"/>
        </w:rPr>
        <w:t>平台</w:t>
      </w:r>
      <w:r>
        <w:rPr>
          <w:rFonts w:hint="eastAsia" w:ascii="仿宋_GB2312" w:eastAsia="仿宋_GB2312" w:cs="宋体"/>
          <w:sz w:val="32"/>
          <w:szCs w:val="32"/>
        </w:rPr>
        <w:t>。</w:t>
      </w:r>
    </w:p>
    <w:p>
      <w:pPr>
        <w:autoSpaceDN w:val="0"/>
        <w:adjustRightInd w:val="0"/>
        <w:snapToGrid w:val="0"/>
        <w:spacing w:line="560" w:lineRule="exact"/>
        <w:ind w:firstLine="640" w:firstLineChars="200"/>
        <w:rPr>
          <w:rFonts w:ascii="仿宋_GB2312" w:eastAsia="仿宋_GB2312" w:cs="宋体"/>
          <w:sz w:val="32"/>
          <w:szCs w:val="32"/>
        </w:rPr>
      </w:pPr>
      <w:r>
        <w:rPr>
          <w:rFonts w:ascii="仿宋_GB2312" w:eastAsia="仿宋_GB2312" w:cs="宋体"/>
          <w:sz w:val="32"/>
          <w:szCs w:val="32"/>
        </w:rPr>
        <w:t>2</w:t>
      </w:r>
      <w:r>
        <w:rPr>
          <w:rFonts w:hint="eastAsia" w:ascii="仿宋_GB2312" w:eastAsia="仿宋_GB2312" w:cs="宋体"/>
          <w:sz w:val="32"/>
          <w:szCs w:val="32"/>
        </w:rPr>
        <w:t>.建设条件</w:t>
      </w:r>
    </w:p>
    <w:p>
      <w:pPr>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共性技术研发平台，由中关村企业和高水平研究机构、社会组织等，围绕重点产业创新发展的共性需求，建设对产业发展有重大带动作用的协同创新平台，重点开展共性技术合作研发、技术转移和成果转化等研发服务。</w:t>
      </w:r>
    </w:p>
    <w:p>
      <w:pPr>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cs="仿宋_GB2312"/>
          <w:sz w:val="32"/>
          <w:szCs w:val="32"/>
        </w:rPr>
        <w:t>（2）</w:t>
      </w:r>
      <w:r>
        <w:rPr>
          <w:rFonts w:hint="eastAsia" w:ascii="仿宋_GB2312" w:eastAsia="仿宋_GB2312"/>
          <w:sz w:val="32"/>
          <w:szCs w:val="32"/>
        </w:rPr>
        <w:t>开放共享创新和产线资源</w:t>
      </w:r>
      <w:r>
        <w:rPr>
          <w:rFonts w:hint="eastAsia" w:ascii="仿宋_GB2312" w:eastAsia="仿宋_GB2312" w:cs="仿宋_GB2312"/>
          <w:sz w:val="32"/>
          <w:szCs w:val="32"/>
        </w:rPr>
        <w:t>平台，由</w:t>
      </w:r>
      <w:r>
        <w:rPr>
          <w:rFonts w:ascii="仿宋_GB2312" w:eastAsia="仿宋_GB2312"/>
          <w:sz w:val="32"/>
          <w:szCs w:val="32"/>
        </w:rPr>
        <w:t>中关村重点</w:t>
      </w:r>
      <w:r>
        <w:rPr>
          <w:rFonts w:hint="eastAsia" w:ascii="仿宋_GB2312" w:eastAsia="仿宋_GB2312"/>
          <w:sz w:val="32"/>
          <w:szCs w:val="32"/>
        </w:rPr>
        <w:t>高校院所</w:t>
      </w:r>
      <w:r>
        <w:rPr>
          <w:rFonts w:ascii="仿宋_GB2312" w:eastAsia="仿宋_GB2312"/>
          <w:sz w:val="32"/>
          <w:szCs w:val="32"/>
        </w:rPr>
        <w:t>、科技型企业</w:t>
      </w:r>
      <w:r>
        <w:rPr>
          <w:rFonts w:ascii="仿宋_GB2312" w:eastAsia="仿宋_GB2312" w:cs="仿宋_GB2312"/>
          <w:sz w:val="32"/>
          <w:szCs w:val="32"/>
        </w:rPr>
        <w:t>等，</w:t>
      </w:r>
      <w:r>
        <w:rPr>
          <w:rFonts w:ascii="仿宋_GB2312" w:eastAsia="仿宋_GB2312"/>
          <w:sz w:val="32"/>
          <w:szCs w:val="32"/>
        </w:rPr>
        <w:t>在</w:t>
      </w:r>
      <w:r>
        <w:rPr>
          <w:rFonts w:hint="eastAsia" w:ascii="仿宋_GB2312" w:eastAsia="仿宋_GB2312"/>
          <w:sz w:val="32"/>
          <w:szCs w:val="32"/>
        </w:rPr>
        <w:t>生物医药、电子信息、智能装备、新材料</w:t>
      </w:r>
      <w:r>
        <w:rPr>
          <w:rFonts w:ascii="仿宋_GB2312" w:eastAsia="仿宋_GB2312"/>
          <w:sz w:val="32"/>
          <w:szCs w:val="32"/>
        </w:rPr>
        <w:t>等中试依赖度高的领域建设共享</w:t>
      </w:r>
      <w:r>
        <w:rPr>
          <w:rFonts w:hint="eastAsia" w:ascii="仿宋_GB2312" w:eastAsia="仿宋_GB2312"/>
          <w:sz w:val="32"/>
          <w:szCs w:val="32"/>
        </w:rPr>
        <w:t>创新、共享产线资源</w:t>
      </w:r>
      <w:r>
        <w:rPr>
          <w:rFonts w:ascii="仿宋_GB2312" w:eastAsia="仿宋_GB2312"/>
          <w:sz w:val="32"/>
          <w:szCs w:val="32"/>
        </w:rPr>
        <w:t>等服务平台，提供中试服务</w:t>
      </w:r>
      <w:r>
        <w:rPr>
          <w:rFonts w:hint="eastAsia" w:ascii="仿宋_GB2312" w:eastAsia="仿宋_GB2312"/>
          <w:sz w:val="32"/>
          <w:szCs w:val="32"/>
        </w:rPr>
        <w:t>、研发资源共享服务等</w:t>
      </w:r>
      <w:r>
        <w:rPr>
          <w:rFonts w:ascii="仿宋_GB2312" w:eastAsia="仿宋_GB2312"/>
          <w:sz w:val="32"/>
          <w:szCs w:val="32"/>
        </w:rPr>
        <w:t>，推动科技成果系统化、配套化和工程化研究开发</w:t>
      </w:r>
      <w:r>
        <w:rPr>
          <w:rFonts w:hint="eastAsia" w:ascii="仿宋_GB2312" w:eastAsia="仿宋_GB2312"/>
          <w:sz w:val="32"/>
          <w:szCs w:val="32"/>
        </w:rPr>
        <w:t>，</w:t>
      </w:r>
      <w:r>
        <w:rPr>
          <w:rFonts w:ascii="仿宋_GB2312" w:eastAsia="仿宋_GB2312"/>
          <w:sz w:val="32"/>
          <w:szCs w:val="32"/>
        </w:rPr>
        <w:t>构建大网络、多平台的</w:t>
      </w:r>
      <w:r>
        <w:rPr>
          <w:rFonts w:hint="eastAsia" w:ascii="仿宋_GB2312" w:eastAsia="仿宋_GB2312"/>
          <w:sz w:val="32"/>
          <w:szCs w:val="32"/>
        </w:rPr>
        <w:t>产研</w:t>
      </w:r>
      <w:r>
        <w:rPr>
          <w:rFonts w:ascii="仿宋_GB2312" w:eastAsia="仿宋_GB2312"/>
          <w:sz w:val="32"/>
          <w:szCs w:val="32"/>
        </w:rPr>
        <w:t>服务生态。</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仿宋_GB2312" w:eastAsia="仿宋_GB2312" w:cs="仿宋_GB2312"/>
          <w:sz w:val="32"/>
          <w:szCs w:val="32"/>
        </w:rPr>
        <w:t>（3）开源</w:t>
      </w:r>
      <w:r>
        <w:rPr>
          <w:rFonts w:ascii="仿宋_GB2312" w:eastAsia="仿宋_GB2312" w:cs="仿宋_GB2312"/>
          <w:sz w:val="32"/>
          <w:szCs w:val="32"/>
        </w:rPr>
        <w:t>开放</w:t>
      </w:r>
      <w:r>
        <w:rPr>
          <w:rFonts w:hint="eastAsia" w:ascii="仿宋_GB2312" w:eastAsia="仿宋_GB2312" w:cs="仿宋_GB2312"/>
          <w:sz w:val="32"/>
          <w:szCs w:val="32"/>
        </w:rPr>
        <w:t>技术平台，支持中关村企业建设基于开源共性技术的支撑服务平台，服务高校、科研院所及产业链上下游企业，推动自主创新底层技术架构应用，促进形成协同研发和快速迭代创新生态</w:t>
      </w:r>
      <w:r>
        <w:rPr>
          <w:rFonts w:ascii="仿宋_GB2312" w:eastAsia="仿宋_GB2312" w:cs="仿宋_GB2312"/>
          <w:sz w:val="32"/>
          <w:szCs w:val="32"/>
        </w:rPr>
        <w:t>。</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（4）上述三类平台须近一年内新建成或正在建设，且有实际投入；建设周期不超过三年，总投资额不低于5000万元。</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（三）支持额度</w:t>
      </w:r>
    </w:p>
    <w:p>
      <w:pPr>
        <w:adjustRightInd w:val="0"/>
        <w:snapToGrid w:val="0"/>
        <w:spacing w:line="560" w:lineRule="exact"/>
        <w:ind w:firstLine="640"/>
        <w:rPr>
          <w:rFonts w:ascii="仿宋_GB2312" w:eastAsia="仿宋_GB2312" w:cs="宋体"/>
          <w:sz w:val="32"/>
          <w:szCs w:val="32"/>
        </w:rPr>
      </w:pPr>
      <w:r>
        <w:rPr>
          <w:rFonts w:hint="eastAsia" w:ascii="仿宋_GB2312" w:eastAsia="仿宋_GB2312" w:cs="宋体"/>
          <w:sz w:val="32"/>
          <w:szCs w:val="32"/>
        </w:rPr>
        <w:t>1.平台建设。按照不超过生产线建设、设备及材料购置、房屋租赁、空间改造、人员费用、试验外协、合作研发、信息系统建设、贷款利息、展览展示、产业对接服务等平台建设和运营总投资额（平台涉及的土地投资和建安成本投入计入总投资额，但不参与资金支持）30%的比例给予资金支持。</w:t>
      </w:r>
    </w:p>
    <w:p>
      <w:pPr>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w:t>
      </w:r>
      <w:r>
        <w:rPr>
          <w:rFonts w:ascii="仿宋_GB2312" w:eastAsia="仿宋_GB2312" w:cs="宋体"/>
          <w:sz w:val="32"/>
          <w:szCs w:val="32"/>
        </w:rPr>
        <w:t>平台</w:t>
      </w:r>
      <w:r>
        <w:rPr>
          <w:rFonts w:hint="eastAsia" w:ascii="仿宋_GB2312" w:eastAsia="仿宋_GB2312" w:cs="宋体"/>
          <w:sz w:val="32"/>
          <w:szCs w:val="32"/>
        </w:rPr>
        <w:t>服务。按照</w:t>
      </w:r>
      <w:r>
        <w:rPr>
          <w:rFonts w:ascii="仿宋_GB2312" w:eastAsia="仿宋_GB2312" w:cs="宋体"/>
          <w:sz w:val="32"/>
          <w:szCs w:val="32"/>
        </w:rPr>
        <w:t>不超过</w:t>
      </w:r>
      <w:r>
        <w:rPr>
          <w:rFonts w:hint="eastAsia" w:ascii="仿宋_GB2312" w:eastAsia="仿宋_GB2312" w:cs="宋体"/>
          <w:sz w:val="32"/>
          <w:szCs w:val="32"/>
        </w:rPr>
        <w:t>平台</w:t>
      </w:r>
      <w:r>
        <w:rPr>
          <w:rFonts w:ascii="仿宋_GB2312" w:eastAsia="仿宋_GB2312" w:cs="宋体"/>
          <w:sz w:val="32"/>
          <w:szCs w:val="32"/>
        </w:rPr>
        <w:t>为中关村示范区企业提供合作研发、</w:t>
      </w:r>
      <w:r>
        <w:rPr>
          <w:rFonts w:hint="eastAsia" w:ascii="仿宋_GB2312" w:eastAsia="仿宋_GB2312" w:cs="宋体"/>
          <w:sz w:val="32"/>
          <w:szCs w:val="32"/>
        </w:rPr>
        <w:t>生产性</w:t>
      </w:r>
      <w:r>
        <w:rPr>
          <w:rFonts w:ascii="仿宋_GB2312" w:eastAsia="仿宋_GB2312" w:cs="宋体"/>
          <w:sz w:val="32"/>
          <w:szCs w:val="32"/>
        </w:rPr>
        <w:t>服务、</w:t>
      </w:r>
      <w:r>
        <w:rPr>
          <w:rFonts w:hint="eastAsia" w:ascii="仿宋_GB2312" w:eastAsia="仿宋_GB2312" w:cs="宋体"/>
          <w:sz w:val="32"/>
          <w:szCs w:val="32"/>
        </w:rPr>
        <w:t>应用推广</w:t>
      </w:r>
      <w:r>
        <w:rPr>
          <w:rFonts w:ascii="仿宋_GB2312" w:eastAsia="仿宋_GB2312" w:cs="宋体"/>
          <w:sz w:val="32"/>
          <w:szCs w:val="32"/>
        </w:rPr>
        <w:t>等服务</w:t>
      </w:r>
      <w:r>
        <w:rPr>
          <w:rFonts w:hint="eastAsia" w:ascii="仿宋_GB2312" w:eastAsia="仿宋_GB2312" w:cs="宋体"/>
          <w:sz w:val="32"/>
          <w:szCs w:val="32"/>
        </w:rPr>
        <w:t>合同额</w:t>
      </w:r>
      <w:r>
        <w:rPr>
          <w:rFonts w:ascii="仿宋_GB2312" w:eastAsia="仿宋_GB2312" w:cs="宋体"/>
          <w:sz w:val="32"/>
          <w:szCs w:val="32"/>
        </w:rPr>
        <w:t>30%的比例</w:t>
      </w:r>
      <w:r>
        <w:rPr>
          <w:rFonts w:hint="eastAsia" w:ascii="仿宋_GB2312" w:eastAsia="仿宋_GB2312" w:cs="宋体"/>
          <w:sz w:val="32"/>
          <w:szCs w:val="32"/>
        </w:rPr>
        <w:t>给予资金支持。</w:t>
      </w:r>
    </w:p>
    <w:p>
      <w:pPr>
        <w:overflowPunct w:val="0"/>
        <w:adjustRightInd w:val="0"/>
        <w:snapToGrid w:val="0"/>
        <w:spacing w:line="560" w:lineRule="exact"/>
        <w:ind w:firstLine="640" w:firstLineChars="200"/>
        <w:outlineLvl w:val="1"/>
        <w:rPr>
          <w:rFonts w:ascii="仿宋_GB2312" w:eastAsia="仿宋_GB2312" w:cs="宋体"/>
          <w:sz w:val="32"/>
          <w:szCs w:val="32"/>
        </w:rPr>
      </w:pPr>
      <w:r>
        <w:rPr>
          <w:rFonts w:hint="eastAsia" w:ascii="仿宋_GB2312" w:eastAsia="仿宋_GB2312" w:cs="宋体"/>
          <w:sz w:val="32"/>
          <w:szCs w:val="32"/>
        </w:rPr>
        <w:t>3</w:t>
      </w:r>
      <w:r>
        <w:rPr>
          <w:rFonts w:ascii="仿宋_GB2312" w:eastAsia="仿宋_GB2312" w:cs="宋体"/>
          <w:sz w:val="32"/>
          <w:szCs w:val="32"/>
        </w:rPr>
        <w:t>.平台围绕中关村示范区重点工作开展产业研究、</w:t>
      </w:r>
      <w:r>
        <w:rPr>
          <w:rFonts w:hint="eastAsia" w:ascii="仿宋_GB2312" w:eastAsia="仿宋_GB2312" w:cs="宋体"/>
          <w:sz w:val="32"/>
          <w:szCs w:val="32"/>
        </w:rPr>
        <w:t>供应链</w:t>
      </w:r>
      <w:r>
        <w:rPr>
          <w:rFonts w:ascii="仿宋_GB2312" w:eastAsia="仿宋_GB2312" w:cs="宋体"/>
          <w:sz w:val="32"/>
          <w:szCs w:val="32"/>
        </w:rPr>
        <w:t>对接</w:t>
      </w:r>
      <w:r>
        <w:rPr>
          <w:rFonts w:hint="eastAsia" w:ascii="仿宋_GB2312" w:eastAsia="仿宋_GB2312" w:cs="宋体"/>
          <w:sz w:val="32"/>
          <w:szCs w:val="32"/>
        </w:rPr>
        <w:t>、</w:t>
      </w:r>
      <w:r>
        <w:rPr>
          <w:rFonts w:ascii="仿宋_GB2312" w:eastAsia="仿宋_GB2312" w:cs="宋体"/>
          <w:sz w:val="32"/>
          <w:szCs w:val="32"/>
        </w:rPr>
        <w:t>项目推荐</w:t>
      </w:r>
      <w:r>
        <w:rPr>
          <w:rFonts w:hint="eastAsia" w:ascii="仿宋_GB2312" w:eastAsia="仿宋_GB2312" w:cs="宋体"/>
          <w:sz w:val="32"/>
          <w:szCs w:val="32"/>
        </w:rPr>
        <w:t>，</w:t>
      </w:r>
      <w:r>
        <w:rPr>
          <w:rFonts w:ascii="仿宋_GB2312" w:eastAsia="仿宋_GB2312" w:cs="宋体"/>
          <w:sz w:val="32"/>
          <w:szCs w:val="32"/>
        </w:rPr>
        <w:t>组织有行业影响力的产业促进活动，按照不超过实际支出费用70%的比例</w:t>
      </w:r>
      <w:r>
        <w:rPr>
          <w:rFonts w:hint="eastAsia" w:ascii="仿宋_GB2312" w:eastAsia="仿宋_GB2312" w:cs="宋体"/>
          <w:sz w:val="32"/>
          <w:szCs w:val="32"/>
        </w:rPr>
        <w:t>给予资金支持。</w:t>
      </w:r>
    </w:p>
    <w:p>
      <w:pPr>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第一年，对平台给予最高不超过1000万元的资金支持。后续年度，对上一年度平台绩效目标完成情况及建设单位的发展情况进行考核评估，对考核通过的平台，择优按照上述三类资金支持标准，给予最高不超过1000万元的资金支持。</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（四）申报材料</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1.《申报单位基本情况表》、企业营业执照副本复印件、事业单位或社会组织法人登记证书复印件。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2.《联合申报单位基本情况表》、企业营业执照副本复印件、事业单位或社会组织法人登记证书复印件、与申报单位签订的项目合作协议。</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3.《中关村示范区高精尖产业协同创新平台申报书》。</w:t>
      </w:r>
    </w:p>
    <w:p>
      <w:pPr>
        <w:overflowPunct w:val="0"/>
        <w:adjustRightInd w:val="0"/>
        <w:snapToGrid w:val="0"/>
        <w:spacing w:line="540" w:lineRule="exact"/>
        <w:ind w:firstLine="640" w:firstLineChars="200"/>
        <w:outlineLvl w:val="1"/>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第七条  支持中关村硬科技孵化器建设。</w:t>
      </w:r>
    </w:p>
    <w:p>
      <w:pPr>
        <w:overflowPunct w:val="0"/>
        <w:adjustRightInd w:val="0"/>
        <w:snapToGrid w:val="0"/>
        <w:spacing w:line="540" w:lineRule="exact"/>
        <w:ind w:firstLine="640" w:firstLineChars="200"/>
        <w:outlineLvl w:val="1"/>
        <w:rPr>
          <w:rFonts w:ascii="楷体_GB2312" w:eastAsia="楷体_GB2312" w:cs="宋体"/>
          <w:color w:val="000000" w:themeColor="text1"/>
          <w:kern w:val="0"/>
          <w:sz w:val="32"/>
          <w:szCs w:val="32"/>
          <w14:textFill>
            <w14:solidFill>
              <w14:schemeClr w14:val="tx1"/>
            </w14:solidFill>
          </w14:textFill>
        </w:rPr>
      </w:pPr>
      <w:r>
        <w:rPr>
          <w:rFonts w:hint="eastAsia" w:ascii="楷体_GB2312" w:eastAsia="楷体_GB2312" w:cs="宋体"/>
          <w:color w:val="000000" w:themeColor="text1"/>
          <w:kern w:val="0"/>
          <w:sz w:val="32"/>
          <w:szCs w:val="32"/>
          <w14:textFill>
            <w14:solidFill>
              <w14:schemeClr w14:val="tx1"/>
            </w14:solidFill>
          </w14:textFill>
        </w:rPr>
        <w:t>（一）支持内容</w:t>
      </w:r>
    </w:p>
    <w:p>
      <w:pPr>
        <w:overflowPunct w:val="0"/>
        <w:adjustRightInd w:val="0"/>
        <w:snapToGrid w:val="0"/>
        <w:spacing w:line="540" w:lineRule="exact"/>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支持中关村硬科技孵化器，围绕</w:t>
      </w:r>
      <w:r>
        <w:rPr>
          <w:rFonts w:hint="eastAsia" w:ascii="仿宋_GB2312" w:hAnsi="宋体" w:eastAsia="仿宋_GB2312" w:cs="宋体"/>
          <w:color w:val="000000"/>
          <w:sz w:val="32"/>
          <w:szCs w:val="32"/>
        </w:rPr>
        <w:t>人工智能、集成电路、医药健康、智能制造、新材料等</w:t>
      </w:r>
      <w:r>
        <w:rPr>
          <w:rFonts w:hint="eastAsia" w:ascii="仿宋_GB2312" w:hAnsi="宋体" w:eastAsia="仿宋_GB2312" w:cs="宋体"/>
          <w:color w:val="000000" w:themeColor="text1"/>
          <w:sz w:val="32"/>
          <w:szCs w:val="32"/>
          <w14:textFill>
            <w14:solidFill>
              <w14:schemeClr w14:val="tx1"/>
            </w14:solidFill>
          </w14:textFill>
        </w:rPr>
        <w:t>重点产业，集成空间、人才、资本、设备、数据等要素，为科技创业企业提供概念验证、小批量试制、中试、检验检测等专业服务</w:t>
      </w:r>
      <w:r>
        <w:rPr>
          <w:rFonts w:hint="eastAsia" w:ascii="仿宋_GB2312" w:eastAsia="仿宋_GB2312" w:cs="宋体"/>
          <w:color w:val="000000" w:themeColor="text1"/>
          <w:kern w:val="0"/>
          <w:sz w:val="32"/>
          <w:szCs w:val="32"/>
          <w14:textFill>
            <w14:solidFill>
              <w14:schemeClr w14:val="tx1"/>
            </w14:solidFill>
          </w14:textFill>
        </w:rPr>
        <w:t>，助力科技</w:t>
      </w:r>
      <w:r>
        <w:rPr>
          <w:rFonts w:ascii="仿宋_GB2312" w:eastAsia="仿宋_GB2312" w:cs="宋体"/>
          <w:color w:val="000000" w:themeColor="text1"/>
          <w:kern w:val="0"/>
          <w:sz w:val="32"/>
          <w:szCs w:val="32"/>
          <w14:textFill>
            <w14:solidFill>
              <w14:schemeClr w14:val="tx1"/>
            </w14:solidFill>
          </w14:textFill>
        </w:rPr>
        <w:t>创业企业发展壮大</w:t>
      </w:r>
      <w:r>
        <w:rPr>
          <w:rFonts w:hint="eastAsia" w:ascii="仿宋_GB2312" w:eastAsia="仿宋_GB2312" w:cs="宋体"/>
          <w:color w:val="000000" w:themeColor="text1"/>
          <w:kern w:val="0"/>
          <w:sz w:val="32"/>
          <w:szCs w:val="32"/>
          <w14:textFill>
            <w14:solidFill>
              <w14:schemeClr w14:val="tx1"/>
            </w14:solidFill>
          </w14:textFill>
        </w:rPr>
        <w:t>。</w:t>
      </w:r>
    </w:p>
    <w:p>
      <w:pPr>
        <w:overflowPunct w:val="0"/>
        <w:adjustRightInd w:val="0"/>
        <w:snapToGrid w:val="0"/>
        <w:spacing w:line="540" w:lineRule="exact"/>
        <w:ind w:firstLine="640" w:firstLineChars="200"/>
        <w:outlineLvl w:val="1"/>
        <w:rPr>
          <w:rFonts w:ascii="楷体_GB2312" w:eastAsia="楷体_GB2312" w:cs="宋体"/>
          <w:color w:val="000000" w:themeColor="text1"/>
          <w:kern w:val="0"/>
          <w:sz w:val="32"/>
          <w:szCs w:val="32"/>
          <w14:textFill>
            <w14:solidFill>
              <w14:schemeClr w14:val="tx1"/>
            </w14:solidFill>
          </w14:textFill>
        </w:rPr>
      </w:pPr>
      <w:r>
        <w:rPr>
          <w:rFonts w:hint="eastAsia" w:ascii="楷体_GB2312" w:eastAsia="楷体_GB2312" w:cs="宋体"/>
          <w:color w:val="000000" w:themeColor="text1"/>
          <w:kern w:val="0"/>
          <w:sz w:val="32"/>
          <w:szCs w:val="32"/>
          <w14:textFill>
            <w14:solidFill>
              <w14:schemeClr w14:val="tx1"/>
            </w14:solidFill>
          </w14:textFill>
        </w:rPr>
        <w:t>（二）支持条件</w:t>
      </w:r>
    </w:p>
    <w:p>
      <w:pPr>
        <w:pStyle w:val="26"/>
        <w:shd w:val="clear" w:color="auto" w:fill="FFFFFF"/>
        <w:adjustRightInd w:val="0"/>
        <w:snapToGrid w:val="0"/>
        <w:spacing w:before="0" w:beforeAutospacing="0" w:line="540" w:lineRule="exact"/>
        <w:ind w:firstLine="640"/>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1.申报单位</w:t>
      </w:r>
    </w:p>
    <w:p>
      <w:pPr>
        <w:overflowPunct w:val="0"/>
        <w:adjustRightInd w:val="0"/>
        <w:snapToGrid w:val="0"/>
        <w:spacing w:line="540" w:lineRule="exact"/>
        <w:ind w:firstLine="640" w:firstLineChars="200"/>
        <w:outlineLvl w:val="1"/>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申报单位须为纳入中关村示范区创业服务机构支持体系的硬科技孵化器。</w:t>
      </w:r>
    </w:p>
    <w:p>
      <w:pPr>
        <w:overflowPunct w:val="0"/>
        <w:adjustRightInd w:val="0"/>
        <w:snapToGrid w:val="0"/>
        <w:spacing w:line="540" w:lineRule="exact"/>
        <w:ind w:firstLine="640" w:firstLineChars="20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2.支持条件</w:t>
      </w:r>
    </w:p>
    <w:p>
      <w:pPr>
        <w:overflowPunct w:val="0"/>
        <w:adjustRightInd w:val="0"/>
        <w:snapToGrid w:val="0"/>
        <w:spacing w:line="540" w:lineRule="exact"/>
        <w:ind w:firstLine="640" w:firstLineChars="200"/>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（1）</w:t>
      </w:r>
      <w:r>
        <w:rPr>
          <w:rFonts w:hint="eastAsia" w:ascii="仿宋_GB2312" w:hAnsi="仿宋_GB2312" w:eastAsia="仿宋_GB2312" w:cs="仿宋_GB2312"/>
          <w:sz w:val="32"/>
          <w:szCs w:val="32"/>
        </w:rPr>
        <w:t>申报机构当年参加中关村科技企业孵化器评价为良好及以上。</w:t>
      </w:r>
    </w:p>
    <w:p>
      <w:pPr>
        <w:overflowPunct w:val="0"/>
        <w:adjustRightInd w:val="0"/>
        <w:snapToGrid w:val="0"/>
        <w:spacing w:line="54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以孵化培育高精尖企业为目标，促进科技创业企业成长和相关产业创新发展，申报单位</w:t>
      </w:r>
      <w:r>
        <w:rPr>
          <w:rFonts w:hint="eastAsia" w:ascii="仿宋_GB2312" w:eastAsia="仿宋_GB2312" w:cs="宋体"/>
          <w:color w:val="000000" w:themeColor="text1"/>
          <w:kern w:val="0"/>
          <w:sz w:val="32"/>
          <w:szCs w:val="32"/>
          <w14:textFill>
            <w14:solidFill>
              <w14:schemeClr w14:val="tx1"/>
            </w14:solidFill>
          </w14:textFill>
        </w:rPr>
        <w:t>具有完整、详细的建设运营实施方案</w:t>
      </w:r>
      <w:r>
        <w:rPr>
          <w:rFonts w:hint="eastAsia" w:ascii="仿宋_GB2312" w:eastAsia="仿宋_GB2312"/>
          <w:color w:val="000000" w:themeColor="text1"/>
          <w:sz w:val="32"/>
          <w:szCs w:val="32"/>
          <w14:textFill>
            <w14:solidFill>
              <w14:schemeClr w14:val="tx1"/>
            </w14:solidFill>
          </w14:textFill>
        </w:rPr>
        <w:t>。</w:t>
      </w:r>
    </w:p>
    <w:p>
      <w:pPr>
        <w:overflowPunct w:val="0"/>
        <w:adjustRightInd w:val="0"/>
        <w:snapToGrid w:val="0"/>
        <w:spacing w:line="540" w:lineRule="exact"/>
        <w:ind w:firstLine="640" w:firstLineChars="200"/>
        <w:outlineLvl w:val="1"/>
        <w:rPr>
          <w:rFonts w:ascii="楷体_GB2312" w:eastAsia="楷体_GB2312" w:cs="宋体"/>
          <w:color w:val="000000" w:themeColor="text1"/>
          <w:kern w:val="0"/>
          <w:sz w:val="32"/>
          <w:szCs w:val="32"/>
          <w14:textFill>
            <w14:solidFill>
              <w14:schemeClr w14:val="tx1"/>
            </w14:solidFill>
          </w14:textFill>
        </w:rPr>
      </w:pPr>
      <w:r>
        <w:rPr>
          <w:rFonts w:hint="eastAsia" w:ascii="楷体_GB2312" w:eastAsia="楷体_GB2312" w:cs="宋体"/>
          <w:color w:val="000000" w:themeColor="text1"/>
          <w:kern w:val="0"/>
          <w:sz w:val="32"/>
          <w:szCs w:val="32"/>
          <w14:textFill>
            <w14:solidFill>
              <w14:schemeClr w14:val="tx1"/>
            </w14:solidFill>
          </w14:textFill>
        </w:rPr>
        <w:t>（三）支持额度</w:t>
      </w:r>
    </w:p>
    <w:p>
      <w:pPr>
        <w:overflowPunct w:val="0"/>
        <w:adjustRightInd w:val="0"/>
        <w:snapToGrid w:val="0"/>
        <w:spacing w:line="540" w:lineRule="exact"/>
        <w:ind w:firstLine="640" w:firstLineChars="200"/>
        <w:outlineLvl w:val="1"/>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专业设备购置和租赁费以不超过当年实际投入50%测算、运营经费以不超过当年实际投入30%测算，总体支持比例不超过当年总投入额的（包括专业设备购置和租赁费、运营经费）30%。其中，计入测算的联合申报单位购置和租赁专业设备投入金额，应不超过申报主体自购和租赁专业设备投入以及运营投入的总和。按上述测算方法，每年度给予评价等级为优秀的孵化器，可按测算金额100%的比例支持，每年每家支持金额不超过1000万元；给予评价等级为良好的孵化器，可按测算金额60%的比例支持，每年每家支持金额不超过600万元。</w:t>
      </w:r>
    </w:p>
    <w:p>
      <w:pPr>
        <w:overflowPunct w:val="0"/>
        <w:adjustRightInd w:val="0"/>
        <w:snapToGrid w:val="0"/>
        <w:spacing w:line="54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专业设备购置和租赁费是指：购置和租赁为科技创业企业提供服务的，与孵化器产业方向一致的仪器、设备所产生的费用。运营经费包括聘用高技能专业人才费、专业设施建设费、能耗费、耗材费和贷款利息等，相关费用均需产生于孵化服务主业。</w:t>
      </w:r>
      <w:r>
        <w:rPr>
          <w:rFonts w:hint="eastAsia" w:ascii="仿宋_GB2312" w:eastAsia="仿宋_GB2312"/>
          <w:bCs/>
          <w:color w:val="000000" w:themeColor="text1"/>
          <w:sz w:val="32"/>
          <w:szCs w:val="32"/>
          <w14:textFill>
            <w14:solidFill>
              <w14:schemeClr w14:val="tx1"/>
            </w14:solidFill>
          </w14:textFill>
        </w:rPr>
        <w:t>1.聘用高技能专业人才费是指</w:t>
      </w:r>
      <w:r>
        <w:rPr>
          <w:rFonts w:hint="eastAsia" w:ascii="仿宋_GB2312" w:eastAsia="仿宋_GB2312"/>
          <w:color w:val="000000" w:themeColor="text1"/>
          <w:sz w:val="32"/>
          <w:szCs w:val="32"/>
          <w14:textFill>
            <w14:solidFill>
              <w14:schemeClr w14:val="tx1"/>
            </w14:solidFill>
          </w14:textFill>
        </w:rPr>
        <w:t>：聘用国家和北京市评定各类人才和具备中高级职称专业人员发生的工资，以及企业承担的社保及公积金等；</w:t>
      </w:r>
      <w:r>
        <w:rPr>
          <w:rFonts w:hint="eastAsia" w:ascii="仿宋_GB2312" w:eastAsia="仿宋_GB2312"/>
          <w:bCs/>
          <w:color w:val="000000" w:themeColor="text1"/>
          <w:sz w:val="32"/>
          <w:szCs w:val="32"/>
          <w14:textFill>
            <w14:solidFill>
              <w14:schemeClr w14:val="tx1"/>
            </w14:solidFill>
          </w14:textFill>
        </w:rPr>
        <w:t>2</w:t>
      </w:r>
      <w:r>
        <w:rPr>
          <w:rFonts w:hint="eastAsia" w:ascii="仿宋_GB2312" w:eastAsia="仿宋_GB2312" w:cs="宋体"/>
          <w:bCs/>
          <w:color w:val="000000" w:themeColor="text1"/>
          <w:kern w:val="0"/>
          <w:sz w:val="32"/>
          <w:szCs w:val="32"/>
          <w14:textFill>
            <w14:solidFill>
              <w14:schemeClr w14:val="tx1"/>
            </w14:solidFill>
          </w14:textFill>
        </w:rPr>
        <w:t>.</w:t>
      </w:r>
      <w:r>
        <w:rPr>
          <w:rFonts w:hint="eastAsia" w:ascii="仿宋_GB2312" w:eastAsia="仿宋_GB2312"/>
          <w:bCs/>
          <w:color w:val="000000" w:themeColor="text1"/>
          <w:sz w:val="32"/>
          <w:szCs w:val="32"/>
          <w14:textFill>
            <w14:solidFill>
              <w14:schemeClr w14:val="tx1"/>
            </w14:solidFill>
          </w14:textFill>
        </w:rPr>
        <w:t>专业设施建设费是指</w:t>
      </w:r>
      <w:r>
        <w:rPr>
          <w:rFonts w:hint="eastAsia" w:ascii="仿宋_GB2312" w:eastAsia="仿宋_GB2312"/>
          <w:color w:val="000000" w:themeColor="text1"/>
          <w:sz w:val="32"/>
          <w:szCs w:val="32"/>
          <w14:textFill>
            <w14:solidFill>
              <w14:schemeClr w14:val="tx1"/>
            </w14:solidFill>
          </w14:textFill>
        </w:rPr>
        <w:t>：在孵化空间内建设专业设施产生的相关费用；</w:t>
      </w:r>
      <w:r>
        <w:rPr>
          <w:rFonts w:hint="eastAsia" w:ascii="仿宋_GB2312" w:eastAsia="仿宋_GB2312"/>
          <w:bCs/>
          <w:color w:val="000000" w:themeColor="text1"/>
          <w:sz w:val="32"/>
          <w:szCs w:val="32"/>
          <w14:textFill>
            <w14:solidFill>
              <w14:schemeClr w14:val="tx1"/>
            </w14:solidFill>
          </w14:textFill>
        </w:rPr>
        <w:t>3.能耗费是指</w:t>
      </w:r>
      <w:r>
        <w:rPr>
          <w:rFonts w:hint="eastAsia" w:ascii="仿宋_GB2312" w:eastAsia="仿宋_GB2312"/>
          <w:color w:val="000000" w:themeColor="text1"/>
          <w:sz w:val="32"/>
          <w:szCs w:val="32"/>
          <w14:textFill>
            <w14:solidFill>
              <w14:schemeClr w14:val="tx1"/>
            </w14:solidFill>
          </w14:textFill>
        </w:rPr>
        <w:t>：为在孵企业提供专业服务过程中孵化场所范围内设施设备产生的能耗费；</w:t>
      </w:r>
      <w:r>
        <w:rPr>
          <w:rFonts w:hint="eastAsia" w:ascii="仿宋_GB2312" w:eastAsia="仿宋_GB2312"/>
          <w:bCs/>
          <w:color w:val="000000" w:themeColor="text1"/>
          <w:sz w:val="32"/>
          <w:szCs w:val="32"/>
          <w14:textFill>
            <w14:solidFill>
              <w14:schemeClr w14:val="tx1"/>
            </w14:solidFill>
          </w14:textFill>
        </w:rPr>
        <w:t>4.耗材费是指</w:t>
      </w:r>
      <w:r>
        <w:rPr>
          <w:rFonts w:hint="eastAsia" w:ascii="仿宋_GB2312" w:eastAsia="仿宋_GB2312"/>
          <w:color w:val="000000" w:themeColor="text1"/>
          <w:sz w:val="32"/>
          <w:szCs w:val="32"/>
          <w14:textFill>
            <w14:solidFill>
              <w14:schemeClr w14:val="tx1"/>
            </w14:solidFill>
          </w14:textFill>
        </w:rPr>
        <w:t>：为在孵企业提供专业服务过程中产生的各类耗材费。</w:t>
      </w:r>
      <w:r>
        <w:rPr>
          <w:rFonts w:hint="eastAsia" w:ascii="仿宋_GB2312" w:eastAsia="仿宋_GB2312"/>
          <w:bCs/>
          <w:color w:val="000000" w:themeColor="text1"/>
          <w:sz w:val="32"/>
          <w:szCs w:val="32"/>
          <w14:textFill>
            <w14:solidFill>
              <w14:schemeClr w14:val="tx1"/>
            </w14:solidFill>
          </w14:textFill>
        </w:rPr>
        <w:t>5.贷款利息是指：</w:t>
      </w:r>
      <w:r>
        <w:rPr>
          <w:rFonts w:hint="eastAsia" w:ascii="仿宋_GB2312" w:eastAsia="仿宋_GB2312"/>
          <w:color w:val="000000" w:themeColor="text1"/>
          <w:sz w:val="32"/>
          <w:szCs w:val="32"/>
          <w14:textFill>
            <w14:solidFill>
              <w14:schemeClr w14:val="tx1"/>
            </w14:solidFill>
          </w14:textFill>
        </w:rPr>
        <w:t>孵化器自身建设发展需要向银行贷款产生的利息。</w:t>
      </w:r>
    </w:p>
    <w:p>
      <w:pPr>
        <w:overflowPunct w:val="0"/>
        <w:adjustRightInd w:val="0"/>
        <w:snapToGrid w:val="0"/>
        <w:spacing w:line="540" w:lineRule="exact"/>
        <w:ind w:firstLine="640" w:firstLineChars="200"/>
        <w:outlineLvl w:val="1"/>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（四）申报材料</w:t>
      </w:r>
    </w:p>
    <w:p>
      <w:pPr>
        <w:overflowPunct w:val="0"/>
        <w:adjustRightInd w:val="0"/>
        <w:snapToGrid w:val="0"/>
        <w:spacing w:line="540" w:lineRule="exact"/>
        <w:ind w:firstLine="640" w:firstLineChars="200"/>
        <w:outlineLvl w:val="1"/>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1.《申报单位基本情况表》、企业营业执照副本复印件、事业单位或社会组织法人登记证书复印件;</w:t>
      </w:r>
    </w:p>
    <w:p>
      <w:pPr>
        <w:overflowPunct w:val="0"/>
        <w:adjustRightInd w:val="0"/>
        <w:snapToGrid w:val="0"/>
        <w:spacing w:line="540" w:lineRule="exact"/>
        <w:ind w:firstLine="640" w:firstLineChars="200"/>
        <w:outlineLvl w:val="1"/>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2.《</w:t>
      </w:r>
      <w:r>
        <w:rPr>
          <w:rFonts w:hint="eastAsia" w:ascii="仿宋_GB2312" w:eastAsia="仿宋_GB2312" w:cs="宋体"/>
          <w:color w:val="000000" w:themeColor="text1"/>
          <w:kern w:val="0"/>
          <w:sz w:val="32"/>
          <w:szCs w:val="32"/>
          <w14:textFill>
            <w14:solidFill>
              <w14:schemeClr w14:val="tx1"/>
            </w14:solidFill>
          </w14:textFill>
        </w:rPr>
        <w:t>联合申报单位基本情况表</w:t>
      </w:r>
      <w:r>
        <w:rPr>
          <w:rFonts w:hint="eastAsia" w:ascii="仿宋_GB2312" w:eastAsia="仿宋_GB2312" w:cs="宋体"/>
          <w:color w:val="000000" w:themeColor="text1"/>
          <w:sz w:val="32"/>
          <w:szCs w:val="32"/>
          <w14:textFill>
            <w14:solidFill>
              <w14:schemeClr w14:val="tx1"/>
            </w14:solidFill>
          </w14:textFill>
        </w:rPr>
        <w:t>》</w:t>
      </w:r>
      <w:r>
        <w:rPr>
          <w:rFonts w:hint="eastAsia" w:ascii="仿宋_GB2312" w:eastAsia="仿宋_GB2312" w:cs="宋体"/>
          <w:color w:val="000000" w:themeColor="text1"/>
          <w:kern w:val="0"/>
          <w:sz w:val="32"/>
          <w:szCs w:val="32"/>
          <w14:textFill>
            <w14:solidFill>
              <w14:schemeClr w14:val="tx1"/>
            </w14:solidFill>
          </w14:textFill>
        </w:rPr>
        <w:t>、</w:t>
      </w:r>
      <w:r>
        <w:rPr>
          <w:rFonts w:hint="eastAsia" w:ascii="仿宋_GB2312" w:eastAsia="仿宋_GB2312" w:cs="宋体"/>
          <w:color w:val="000000" w:themeColor="text1"/>
          <w:sz w:val="32"/>
          <w:szCs w:val="32"/>
          <w14:textFill>
            <w14:solidFill>
              <w14:schemeClr w14:val="tx1"/>
            </w14:solidFill>
          </w14:textFill>
        </w:rPr>
        <w:t>企业营业执照副本复印件、事业单位或社会组织法人登记证书复印件、</w:t>
      </w:r>
      <w:r>
        <w:rPr>
          <w:rFonts w:hint="eastAsia" w:ascii="仿宋_GB2312" w:eastAsia="仿宋_GB2312" w:cs="宋体"/>
          <w:color w:val="000000" w:themeColor="text1"/>
          <w:kern w:val="0"/>
          <w:sz w:val="32"/>
          <w:szCs w:val="32"/>
          <w14:textFill>
            <w14:solidFill>
              <w14:schemeClr w14:val="tx1"/>
            </w14:solidFill>
          </w14:textFill>
        </w:rPr>
        <w:t>与申报单位签订的项目合作协议;</w:t>
      </w:r>
    </w:p>
    <w:p>
      <w:pPr>
        <w:overflowPunct w:val="0"/>
        <w:adjustRightInd w:val="0"/>
        <w:snapToGrid w:val="0"/>
        <w:spacing w:line="540" w:lineRule="exact"/>
        <w:ind w:firstLine="640" w:firstLineChars="200"/>
        <w:outlineLvl w:val="1"/>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3.《中关村示范区硬科技孵化器申报书》。</w:t>
      </w:r>
    </w:p>
    <w:p>
      <w:pPr>
        <w:overflowPunct w:val="0"/>
        <w:adjustRightInd w:val="0"/>
        <w:snapToGrid w:val="0"/>
        <w:spacing w:line="540" w:lineRule="exact"/>
        <w:ind w:firstLine="640" w:firstLineChars="200"/>
        <w:outlineLvl w:val="1"/>
        <w:rPr>
          <w:rFonts w:ascii="仿宋_GB2312" w:eastAsia="仿宋_GB2312" w:cs="宋体"/>
          <w:color w:val="000000" w:themeColor="text1"/>
          <w:sz w:val="32"/>
          <w:szCs w:val="32"/>
          <w14:textFill>
            <w14:solidFill>
              <w14:schemeClr w14:val="tx1"/>
            </w14:solidFill>
          </w14:textFill>
        </w:rPr>
      </w:pPr>
      <w:r>
        <w:rPr>
          <w:rFonts w:hint="eastAsia" w:ascii="仿宋_GB2312" w:eastAsia="仿宋_GB2312" w:cs="宋体"/>
          <w:color w:val="000000" w:themeColor="text1"/>
          <w:sz w:val="32"/>
          <w:szCs w:val="32"/>
          <w14:textFill>
            <w14:solidFill>
              <w14:schemeClr w14:val="tx1"/>
            </w14:solidFill>
          </w14:textFill>
        </w:rPr>
        <w:t>4.《中关村示范区硬科技孵化器建设方案》。</w:t>
      </w:r>
    </w:p>
    <w:p>
      <w:pPr>
        <w:overflowPunct w:val="0"/>
        <w:adjustRightInd w:val="0"/>
        <w:snapToGrid w:val="0"/>
        <w:spacing w:line="560" w:lineRule="exact"/>
        <w:ind w:firstLine="640" w:firstLineChars="200"/>
        <w:outlineLvl w:val="1"/>
        <w:rPr>
          <w:rFonts w:ascii="仿宋_GB2312" w:eastAsia="仿宋_GB2312" w:cs="宋体"/>
          <w:sz w:val="32"/>
          <w:szCs w:val="32"/>
        </w:rPr>
      </w:pPr>
      <w:r>
        <w:rPr>
          <w:rFonts w:hint="eastAsia" w:ascii="仿宋_GB2312" w:eastAsia="仿宋_GB2312" w:cs="宋体"/>
          <w:sz w:val="32"/>
          <w:szCs w:val="32"/>
        </w:rPr>
        <w:t xml:space="preserve">第八条  </w:t>
      </w:r>
      <w:r>
        <w:rPr>
          <w:rFonts w:hint="eastAsia" w:ascii="仿宋_GB2312" w:eastAsia="仿宋_GB2312"/>
          <w:sz w:val="32"/>
          <w:szCs w:val="32"/>
        </w:rPr>
        <w:t>支持重大前沿技术产品示范应用</w:t>
      </w:r>
      <w:r>
        <w:rPr>
          <w:rFonts w:hint="eastAsia" w:ascii="仿宋_GB2312" w:eastAsia="仿宋_GB2312" w:cs="宋体"/>
          <w:sz w:val="32"/>
          <w:szCs w:val="32"/>
        </w:rPr>
        <w:t>。</w:t>
      </w:r>
    </w:p>
    <w:p>
      <w:pPr>
        <w:overflowPunct w:val="0"/>
        <w:adjustRightInd w:val="0"/>
        <w:snapToGrid w:val="0"/>
        <w:spacing w:line="560" w:lineRule="exact"/>
        <w:ind w:firstLine="640" w:firstLineChars="200"/>
        <w:outlineLvl w:val="1"/>
        <w:rPr>
          <w:rFonts w:ascii="楷体_GB2312" w:eastAsia="楷体_GB2312" w:cs="宋体"/>
          <w:sz w:val="32"/>
          <w:szCs w:val="32"/>
        </w:rPr>
      </w:pPr>
      <w:r>
        <w:rPr>
          <w:rFonts w:hint="eastAsia" w:ascii="楷体_GB2312" w:eastAsia="楷体_GB2312" w:cs="宋体"/>
          <w:sz w:val="32"/>
          <w:szCs w:val="32"/>
        </w:rPr>
        <w:t>（一）支持内容</w:t>
      </w:r>
    </w:p>
    <w:p>
      <w:pPr>
        <w:pStyle w:val="26"/>
        <w:adjustRightInd w:val="0"/>
        <w:snapToGrid w:val="0"/>
        <w:spacing w:before="0" w:beforeAutospacing="0" w:line="560" w:lineRule="exact"/>
        <w:ind w:firstLine="640" w:firstLineChars="200"/>
        <w:rPr>
          <w:rFonts w:ascii="仿宋_GB2312" w:eastAsia="仿宋_GB2312" w:cs="仿宋_GB2312"/>
          <w:sz w:val="32"/>
          <w:szCs w:val="32"/>
        </w:rPr>
      </w:pPr>
      <w:r>
        <w:rPr>
          <w:rFonts w:hint="eastAsia" w:ascii="仿宋_GB2312" w:eastAsia="仿宋_GB2312"/>
          <w:sz w:val="32"/>
          <w:szCs w:val="32"/>
        </w:rPr>
        <w:t>支持中关村企业面向2022年冬奥会、冬残奥会、城市副中心及“两区”建设、首都经济社会发展及京津冀协同发展等新场景建设需求，开展重大前沿技术产品示范应用，打造新赛道、培育新模式新业态，实现中关村数字经济引领发展。</w:t>
      </w:r>
    </w:p>
    <w:p>
      <w:pPr>
        <w:autoSpaceDN w:val="0"/>
        <w:adjustRightInd w:val="0"/>
        <w:snapToGrid w:val="0"/>
        <w:spacing w:line="560" w:lineRule="exact"/>
        <w:ind w:firstLine="640" w:firstLineChars="200"/>
        <w:rPr>
          <w:rFonts w:ascii="楷体_GB2312" w:eastAsia="楷体_GB2312" w:cs="宋体"/>
          <w:sz w:val="32"/>
          <w:szCs w:val="32"/>
        </w:rPr>
      </w:pPr>
      <w:r>
        <w:rPr>
          <w:rFonts w:hint="eastAsia" w:ascii="楷体_GB2312" w:eastAsia="楷体_GB2312" w:cs="宋体"/>
          <w:sz w:val="32"/>
          <w:szCs w:val="32"/>
        </w:rPr>
        <w:t>（二）支持条件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1.申报单位</w:t>
      </w:r>
    </w:p>
    <w:p>
      <w:pPr>
        <w:pStyle w:val="2"/>
        <w:ind w:firstLine="640" w:firstLineChars="200"/>
        <w:rPr>
          <w:rFonts w:ascii="仿宋_GB2312" w:hAnsi="Times New Roman" w:eastAsia="仿宋_GB2312" w:cs="宋体"/>
          <w:b w:val="0"/>
          <w:sz w:val="32"/>
          <w:szCs w:val="32"/>
        </w:rPr>
      </w:pPr>
      <w:r>
        <w:rPr>
          <w:rFonts w:hint="eastAsia" w:ascii="仿宋_GB2312" w:hAnsi="Times New Roman" w:eastAsia="仿宋_GB2312" w:cs="宋体"/>
          <w:b w:val="0"/>
          <w:sz w:val="32"/>
          <w:szCs w:val="32"/>
        </w:rPr>
        <w:t>（1）申报单位应为符合本</w:t>
      </w:r>
      <w:r>
        <w:rPr>
          <w:rFonts w:hint="eastAsia" w:ascii="仿宋_GB2312" w:hAnsi="Times New Roman" w:eastAsia="仿宋_GB2312" w:cs="宋体"/>
          <w:b w:val="0"/>
          <w:sz w:val="32"/>
          <w:szCs w:val="32"/>
          <w:lang w:eastAsia="zh-CN"/>
        </w:rPr>
        <w:t>实施细则</w:t>
      </w:r>
      <w:r>
        <w:rPr>
          <w:rFonts w:hint="eastAsia" w:ascii="仿宋_GB2312" w:hAnsi="Times New Roman" w:eastAsia="仿宋_GB2312" w:cs="宋体"/>
          <w:b w:val="0"/>
          <w:sz w:val="32"/>
          <w:szCs w:val="32"/>
        </w:rPr>
        <w:t>第二条规定的企业，主营业务符合第三条确定的重点产业领域。</w:t>
      </w:r>
    </w:p>
    <w:p>
      <w:pPr>
        <w:pStyle w:val="3"/>
        <w:ind w:firstLine="640" w:firstLineChars="200"/>
      </w:pPr>
      <w:r>
        <w:rPr>
          <w:rFonts w:hint="eastAsia" w:ascii="仿宋_GB2312" w:eastAsia="仿宋_GB2312" w:cs="宋体"/>
          <w:sz w:val="32"/>
          <w:szCs w:val="32"/>
        </w:rPr>
        <w:t>（2）</w:t>
      </w:r>
      <w:r>
        <w:rPr>
          <w:rFonts w:hint="eastAsia" w:ascii="仿宋_GB2312" w:eastAsia="仿宋_GB2312"/>
          <w:sz w:val="32"/>
          <w:szCs w:val="32"/>
        </w:rPr>
        <w:t>由</w:t>
      </w:r>
      <w:r>
        <w:rPr>
          <w:rFonts w:hint="eastAsia" w:ascii="仿宋_GB2312" w:eastAsia="仿宋_GB2312" w:cs="宋体"/>
          <w:sz w:val="32"/>
          <w:szCs w:val="32"/>
        </w:rPr>
        <w:t>技术提供方牵头，</w:t>
      </w:r>
      <w:r>
        <w:rPr>
          <w:rFonts w:hint="eastAsia" w:ascii="仿宋_GB2312" w:eastAsia="仿宋_GB2312"/>
          <w:sz w:val="32"/>
          <w:szCs w:val="32"/>
        </w:rPr>
        <w:t>会同应用方联合申报</w:t>
      </w:r>
      <w:r>
        <w:rPr>
          <w:rFonts w:hint="eastAsia" w:ascii="仿宋_GB2312" w:eastAsia="仿宋_GB2312" w:cs="宋体"/>
          <w:sz w:val="32"/>
          <w:szCs w:val="32"/>
        </w:rPr>
        <w:t>；技术提供方与</w:t>
      </w:r>
      <w:r>
        <w:rPr>
          <w:rFonts w:ascii="仿宋_GB2312" w:eastAsia="仿宋_GB2312" w:cs="宋体"/>
          <w:sz w:val="32"/>
          <w:szCs w:val="32"/>
        </w:rPr>
        <w:t>应用</w:t>
      </w:r>
      <w:r>
        <w:rPr>
          <w:rFonts w:hint="eastAsia" w:ascii="仿宋_GB2312" w:eastAsia="仿宋_GB2312" w:cs="宋体"/>
          <w:sz w:val="32"/>
          <w:szCs w:val="32"/>
        </w:rPr>
        <w:t>方</w:t>
      </w:r>
      <w:r>
        <w:rPr>
          <w:rFonts w:ascii="仿宋_GB2312" w:eastAsia="仿宋_GB2312" w:cs="宋体"/>
          <w:sz w:val="32"/>
          <w:szCs w:val="32"/>
        </w:rPr>
        <w:t>已签署</w:t>
      </w:r>
      <w:r>
        <w:rPr>
          <w:rFonts w:hint="eastAsia" w:ascii="仿宋_GB2312" w:eastAsia="仿宋_GB2312" w:cs="宋体"/>
          <w:sz w:val="32"/>
          <w:szCs w:val="32"/>
        </w:rPr>
        <w:t>应用</w:t>
      </w:r>
      <w:r>
        <w:rPr>
          <w:rFonts w:ascii="仿宋_GB2312" w:eastAsia="仿宋_GB2312" w:cs="宋体"/>
          <w:sz w:val="32"/>
          <w:szCs w:val="32"/>
        </w:rPr>
        <w:t>合作协议</w:t>
      </w:r>
      <w:r>
        <w:rPr>
          <w:rFonts w:hint="eastAsia" w:ascii="仿宋_GB2312" w:eastAsia="仿宋_GB2312" w:cs="宋体"/>
          <w:sz w:val="32"/>
          <w:szCs w:val="32"/>
        </w:rPr>
        <w:t>，明确双方资源投入</w:t>
      </w:r>
      <w:r>
        <w:rPr>
          <w:rFonts w:ascii="仿宋_GB2312" w:eastAsia="仿宋_GB2312" w:cs="宋体"/>
          <w:sz w:val="32"/>
          <w:szCs w:val="32"/>
        </w:rPr>
        <w:t>，共同开展二次应用研发</w:t>
      </w:r>
      <w:r>
        <w:rPr>
          <w:rFonts w:hint="eastAsia" w:ascii="仿宋_GB2312" w:eastAsia="仿宋_GB2312" w:cs="宋体"/>
          <w:sz w:val="32"/>
          <w:szCs w:val="32"/>
        </w:rPr>
        <w:t>。</w:t>
      </w:r>
    </w:p>
    <w:p>
      <w:pPr>
        <w:pStyle w:val="2"/>
        <w:ind w:firstLine="640" w:firstLineChars="200"/>
        <w:rPr>
          <w:rFonts w:ascii="仿宋_GB2312" w:hAnsi="Times New Roman" w:eastAsia="仿宋_GB2312" w:cs="宋体"/>
          <w:b w:val="0"/>
          <w:sz w:val="32"/>
          <w:szCs w:val="32"/>
        </w:rPr>
      </w:pPr>
      <w:r>
        <w:rPr>
          <w:rFonts w:hint="eastAsia" w:ascii="仿宋_GB2312" w:hAnsi="Times New Roman" w:eastAsia="仿宋_GB2312" w:cs="宋体"/>
          <w:b w:val="0"/>
          <w:sz w:val="32"/>
          <w:szCs w:val="32"/>
        </w:rPr>
        <w:t>2.支持条件</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（1）项目应为前沿创新技术产品应用，能够有效解决国家和北京市重大活动、重大工程、重大项目以及首都经济社会发展</w:t>
      </w:r>
      <w:r>
        <w:rPr>
          <w:rFonts w:hint="eastAsia" w:ascii="仿宋_GB2312" w:eastAsia="仿宋_GB2312"/>
          <w:sz w:val="32"/>
          <w:szCs w:val="32"/>
        </w:rPr>
        <w:t>重点方向“新场景”建设需求。</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 xml:space="preserve">（2）项目具有较好市场前景，能够形成可复制可推广的技术方案，探索前沿技术产品应用推广的路径模式，为数字经济新模式培育发挥重要促进作用。  </w:t>
      </w:r>
    </w:p>
    <w:p>
      <w:pPr>
        <w:overflowPunct w:val="0"/>
        <w:adjustRightInd w:val="0"/>
        <w:snapToGrid w:val="0"/>
        <w:spacing w:line="560" w:lineRule="exact"/>
        <w:ind w:firstLine="640" w:firstLineChars="200"/>
        <w:outlineLvl w:val="1"/>
        <w:rPr>
          <w:rFonts w:ascii="仿宋_GB2312" w:eastAsia="仿宋_GB2312"/>
          <w:sz w:val="32"/>
          <w:szCs w:val="32"/>
        </w:rPr>
      </w:pPr>
      <w:r>
        <w:rPr>
          <w:rFonts w:hint="eastAsia" w:ascii="楷体_GB2312" w:eastAsia="楷体_GB2312" w:cs="宋体"/>
          <w:sz w:val="32"/>
          <w:szCs w:val="32"/>
        </w:rPr>
        <w:t>（三）支持额度</w:t>
      </w:r>
    </w:p>
    <w:p>
      <w:pPr>
        <w:autoSpaceDN w:val="0"/>
        <w:adjustRightInd w:val="0"/>
        <w:snapToGrid w:val="0"/>
        <w:spacing w:line="560" w:lineRule="exact"/>
      </w:pPr>
      <w:r>
        <w:rPr>
          <w:rFonts w:hint="eastAsia" w:ascii="仿宋_GB2312" w:eastAsia="仿宋_GB2312" w:cs="宋体"/>
          <w:sz w:val="32"/>
          <w:szCs w:val="32"/>
        </w:rPr>
        <w:t xml:space="preserve">    </w:t>
      </w:r>
      <w:r>
        <w:rPr>
          <w:rFonts w:hint="eastAsia" w:ascii="仿宋_GB2312" w:eastAsia="仿宋_GB2312"/>
          <w:sz w:val="32"/>
          <w:szCs w:val="32"/>
        </w:rPr>
        <w:t>按照不超过项目总投资或应用合作协议金额30%的比例，给予最高不超过2000万元的资金支持</w:t>
      </w:r>
      <w:r>
        <w:rPr>
          <w:rFonts w:hint="eastAsia" w:ascii="仿宋_GB2312" w:eastAsia="仿宋_GB2312" w:cs="仿宋_GB2312"/>
          <w:sz w:val="32"/>
          <w:szCs w:val="32"/>
        </w:rPr>
        <w:t>，</w:t>
      </w:r>
      <w:r>
        <w:rPr>
          <w:rFonts w:hint="eastAsia" w:ascii="仿宋_GB2312" w:eastAsia="仿宋_GB2312" w:cs="宋体"/>
          <w:sz w:val="32"/>
          <w:szCs w:val="32"/>
        </w:rPr>
        <w:t>分两次拨付，每次拨付最高不超过1000万元。项目立项后，按照项目审定</w:t>
      </w:r>
      <w:r>
        <w:rPr>
          <w:rFonts w:hint="eastAsia" w:ascii="仿宋_GB2312" w:eastAsia="仿宋_GB2312"/>
          <w:sz w:val="32"/>
          <w:szCs w:val="32"/>
        </w:rPr>
        <w:t>总投资或应用合作协议金额</w:t>
      </w:r>
      <w:r>
        <w:rPr>
          <w:rFonts w:hint="eastAsia" w:ascii="仿宋_GB2312" w:eastAsia="仿宋_GB2312" w:cs="宋体"/>
          <w:sz w:val="32"/>
          <w:szCs w:val="32"/>
        </w:rPr>
        <w:t>15%的比例给予资金支持；结题验收后，根据项目实施成效和项目结算审计，择优按照决算审定金额30%的比例，给予剩余资金支持。</w:t>
      </w:r>
    </w:p>
    <w:p>
      <w:pPr>
        <w:overflowPunct w:val="0"/>
        <w:adjustRightInd w:val="0"/>
        <w:snapToGrid w:val="0"/>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（四）申报材料</w:t>
      </w:r>
    </w:p>
    <w:p>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1.《申报</w:t>
      </w:r>
      <w:r>
        <w:rPr>
          <w:rFonts w:ascii="仿宋_GB2312" w:eastAsia="仿宋_GB2312" w:cs="仿宋_GB2312"/>
          <w:sz w:val="32"/>
          <w:szCs w:val="32"/>
        </w:rPr>
        <w:t>单位基本情况表</w:t>
      </w:r>
      <w:r>
        <w:rPr>
          <w:rFonts w:hint="eastAsia" w:ascii="仿宋_GB2312" w:eastAsia="仿宋_GB2312" w:cs="仿宋_GB2312"/>
          <w:sz w:val="32"/>
          <w:szCs w:val="32"/>
        </w:rPr>
        <w:t>》</w:t>
      </w:r>
    </w:p>
    <w:p>
      <w:pPr>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sz w:val="32"/>
          <w:szCs w:val="32"/>
        </w:rPr>
        <w:t>2.《中关村</w:t>
      </w:r>
      <w:r>
        <w:rPr>
          <w:rFonts w:ascii="仿宋_GB2312" w:eastAsia="仿宋_GB2312" w:cs="宋体"/>
          <w:sz w:val="32"/>
          <w:szCs w:val="32"/>
        </w:rPr>
        <w:t>示范区</w:t>
      </w:r>
      <w:r>
        <w:rPr>
          <w:rFonts w:hint="eastAsia" w:ascii="仿宋_GB2312" w:eastAsia="仿宋_GB2312" w:cs="宋体"/>
          <w:sz w:val="32"/>
          <w:szCs w:val="32"/>
        </w:rPr>
        <w:t>前沿技术产品示范应用项目</w:t>
      </w:r>
      <w:r>
        <w:rPr>
          <w:rFonts w:ascii="仿宋_GB2312" w:eastAsia="仿宋_GB2312" w:cs="宋体"/>
          <w:sz w:val="32"/>
          <w:szCs w:val="32"/>
        </w:rPr>
        <w:t>申报书</w:t>
      </w:r>
      <w:r>
        <w:rPr>
          <w:rFonts w:hint="eastAsia" w:ascii="仿宋_GB2312" w:eastAsia="仿宋_GB2312" w:cs="宋体"/>
          <w:sz w:val="32"/>
          <w:szCs w:val="32"/>
        </w:rPr>
        <w:t>》</w:t>
      </w:r>
    </w:p>
    <w:p>
      <w:pPr>
        <w:pStyle w:val="2"/>
        <w:adjustRightInd w:val="0"/>
        <w:snapToGrid w:val="0"/>
        <w:spacing w:line="560" w:lineRule="exact"/>
        <w:ind w:firstLine="640" w:firstLineChars="200"/>
        <w:rPr>
          <w:rFonts w:eastAsia="仿宋_GB2312"/>
          <w:b w:val="0"/>
          <w:bCs/>
          <w:sz w:val="32"/>
          <w:szCs w:val="32"/>
        </w:rPr>
      </w:pPr>
      <w:r>
        <w:rPr>
          <w:rFonts w:hint="eastAsia" w:ascii="仿宋_GB2312" w:eastAsia="仿宋_GB2312" w:cs="宋体"/>
          <w:b w:val="0"/>
          <w:bCs/>
          <w:sz w:val="32"/>
          <w:szCs w:val="32"/>
        </w:rPr>
        <w:t>3.技术提供方与应用方签署的应用合作协议（新技术新产品采购合同）</w:t>
      </w:r>
    </w:p>
    <w:p>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4.申报</w:t>
      </w:r>
      <w:r>
        <w:rPr>
          <w:rFonts w:ascii="仿宋_GB2312" w:eastAsia="仿宋_GB2312" w:cs="仿宋_GB2312"/>
          <w:sz w:val="32"/>
          <w:szCs w:val="32"/>
        </w:rPr>
        <w:t>通知中要求提交的其他材料。</w:t>
      </w:r>
    </w:p>
    <w:p>
      <w:pPr>
        <w:overflowPunct w:val="0"/>
        <w:adjustRightInd w:val="0"/>
        <w:snapToGrid w:val="0"/>
        <w:spacing w:line="560" w:lineRule="exact"/>
        <w:ind w:firstLine="640" w:firstLineChars="200"/>
        <w:jc w:val="left"/>
        <w:outlineLvl w:val="1"/>
        <w:rPr>
          <w:rFonts w:ascii="仿宋_GB2312" w:eastAsia="仿宋_GB2312"/>
          <w:sz w:val="32"/>
          <w:szCs w:val="32"/>
        </w:rPr>
      </w:pPr>
      <w:r>
        <w:rPr>
          <w:rFonts w:hint="eastAsia" w:ascii="仿宋_GB2312" w:eastAsia="仿宋_GB2312"/>
          <w:sz w:val="32"/>
          <w:szCs w:val="32"/>
        </w:rPr>
        <w:t>第九条  产业促进服务机构</w:t>
      </w:r>
    </w:p>
    <w:p>
      <w:pPr>
        <w:overflowPunct w:val="0"/>
        <w:snapToGrid w:val="0"/>
        <w:spacing w:line="560" w:lineRule="exact"/>
        <w:ind w:firstLine="640" w:firstLineChars="200"/>
        <w:outlineLvl w:val="1"/>
        <w:rPr>
          <w:rFonts w:ascii="楷体_GB2312" w:hAnsi="宋体" w:eastAsia="楷体_GB2312" w:cs="宋体"/>
          <w:sz w:val="32"/>
          <w:szCs w:val="32"/>
        </w:rPr>
      </w:pPr>
      <w:r>
        <w:rPr>
          <w:rFonts w:hint="eastAsia" w:ascii="楷体_GB2312" w:hAnsi="宋体" w:eastAsia="楷体_GB2312" w:cs="宋体"/>
          <w:sz w:val="32"/>
          <w:szCs w:val="32"/>
        </w:rPr>
        <w:t>（一）支持内容</w:t>
      </w:r>
    </w:p>
    <w:p>
      <w:pPr>
        <w:overflowPunct w:val="0"/>
        <w:snapToGrid w:val="0"/>
        <w:spacing w:line="560" w:lineRule="exact"/>
        <w:ind w:firstLine="640" w:firstLineChars="200"/>
        <w:outlineLvl w:val="1"/>
        <w:rPr>
          <w:rFonts w:ascii="仿宋_GB2312" w:eastAsia="仿宋_GB2312"/>
          <w:sz w:val="32"/>
        </w:rPr>
      </w:pPr>
      <w:r>
        <w:rPr>
          <w:rFonts w:hint="eastAsia" w:ascii="仿宋_GB2312" w:eastAsia="仿宋_GB2312"/>
          <w:sz w:val="32"/>
        </w:rPr>
        <w:t>支持各分园按照产业定位，引入或设立专业化、市场化、国际化的产业促进服务机构。支持产业促进服务机构面向分园提供空间规划、产业规划、产业政策等研究服务，围绕分园主导产业开展精准培育，举办具有品牌影响力的大赛、论坛、路演、展览展示等活动，搭建运营专业化产业服务平台。</w:t>
      </w:r>
    </w:p>
    <w:p>
      <w:pPr>
        <w:overflowPunct w:val="0"/>
        <w:snapToGrid w:val="0"/>
        <w:spacing w:line="560" w:lineRule="exact"/>
        <w:ind w:firstLine="640" w:firstLineChars="200"/>
        <w:outlineLvl w:val="1"/>
        <w:rPr>
          <w:rFonts w:ascii="楷体_GB2312" w:hAnsi="宋体" w:eastAsia="楷体_GB2312" w:cs="宋体"/>
          <w:sz w:val="32"/>
          <w:szCs w:val="32"/>
        </w:rPr>
      </w:pPr>
      <w:r>
        <w:rPr>
          <w:rFonts w:hint="eastAsia" w:ascii="楷体_GB2312" w:hAnsi="宋体" w:eastAsia="楷体_GB2312" w:cs="宋体"/>
          <w:sz w:val="32"/>
          <w:szCs w:val="32"/>
        </w:rPr>
        <w:t>（二）支持条件</w:t>
      </w:r>
    </w:p>
    <w:p>
      <w:pPr>
        <w:overflowPunct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1.产业促进服务机构应符合分园产业定位；</w:t>
      </w:r>
    </w:p>
    <w:p>
      <w:pPr>
        <w:overflowPunct w:val="0"/>
        <w:autoSpaceDN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2.产业促服务机构须以单独成立或与分园合资成立的方式在分园实体化运作，其核心工作人员应具有行业专业背景和园区运营管理经验；</w:t>
      </w:r>
    </w:p>
    <w:p>
      <w:pPr>
        <w:overflowPunct w:val="0"/>
        <w:autoSpaceDN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3.产业促进服务机构须与所在区政府、分园管委会等相关单位签订合作协议，并已获得资金支持。</w:t>
      </w:r>
    </w:p>
    <w:p>
      <w:pPr>
        <w:overflowPunct w:val="0"/>
        <w:autoSpaceDN w:val="0"/>
        <w:snapToGrid w:val="0"/>
        <w:spacing w:line="560" w:lineRule="exact"/>
        <w:ind w:firstLine="640" w:firstLineChars="200"/>
        <w:rPr>
          <w:rFonts w:ascii="仿宋_GB2312" w:hAnsi="楷体" w:eastAsia="仿宋_GB2312"/>
          <w:sz w:val="32"/>
          <w:szCs w:val="32"/>
        </w:rPr>
      </w:pPr>
      <w:r>
        <w:rPr>
          <w:rFonts w:hint="eastAsia" w:ascii="仿宋_GB2312" w:hAnsi="楷体" w:eastAsia="仿宋_GB2312"/>
          <w:sz w:val="32"/>
          <w:szCs w:val="32"/>
        </w:rPr>
        <w:t>4.产业促进服务机构须围绕分园主导产业，开展产业规划研究、搭建产业技术服务平台、提供精准化科技服务、推进应用场景研究与供给、推动产业创新资源导入和对接、营造产业发展氛围，形成以产业研究、企业服务、资源导入、环境营造为基础的产业服务能力。</w:t>
      </w:r>
    </w:p>
    <w:p>
      <w:pPr>
        <w:overflowPunct w:val="0"/>
        <w:snapToGrid w:val="0"/>
        <w:spacing w:line="560" w:lineRule="exact"/>
        <w:ind w:firstLine="640" w:firstLineChars="200"/>
        <w:outlineLvl w:val="1"/>
        <w:rPr>
          <w:rFonts w:ascii="楷体_GB2312" w:hAnsi="宋体" w:eastAsia="楷体_GB2312" w:cs="宋体"/>
          <w:sz w:val="32"/>
          <w:szCs w:val="32"/>
        </w:rPr>
      </w:pPr>
      <w:r>
        <w:rPr>
          <w:rFonts w:hint="eastAsia" w:ascii="楷体_GB2312" w:hAnsi="宋体" w:eastAsia="楷体_GB2312" w:cs="宋体"/>
          <w:sz w:val="32"/>
          <w:szCs w:val="32"/>
        </w:rPr>
        <w:t>（三）支持金额</w:t>
      </w:r>
    </w:p>
    <w:p>
      <w:pPr>
        <w:overflowPunct w:val="0"/>
        <w:adjustRightInd w:val="0"/>
        <w:snapToGrid w:val="0"/>
        <w:spacing w:line="560" w:lineRule="exact"/>
        <w:ind w:firstLine="641"/>
        <w:jc w:val="left"/>
        <w:rPr>
          <w:rFonts w:ascii="仿宋_GB2312" w:eastAsia="仿宋_GB2312"/>
          <w:sz w:val="32"/>
        </w:rPr>
      </w:pPr>
      <w:r>
        <w:rPr>
          <w:rFonts w:hint="eastAsia" w:ascii="仿宋_GB2312" w:hAnsi="宋体" w:eastAsia="仿宋_GB2312" w:cs="宋体"/>
          <w:sz w:val="32"/>
          <w:szCs w:val="32"/>
        </w:rPr>
        <w:t>对符合支持条件的产业促进服务机构，按照研究服务、活动组织、平台搭建运营方面的审计认定投入金额不超过5</w:t>
      </w:r>
      <w:r>
        <w:rPr>
          <w:rFonts w:ascii="仿宋_GB2312" w:hAnsi="宋体" w:eastAsia="仿宋_GB2312" w:cs="宋体"/>
          <w:sz w:val="32"/>
          <w:szCs w:val="32"/>
        </w:rPr>
        <w:t>0</w:t>
      </w:r>
      <w:r>
        <w:rPr>
          <w:rFonts w:hint="eastAsia" w:ascii="仿宋_GB2312" w:hAnsi="宋体" w:eastAsia="仿宋_GB2312" w:cs="宋体"/>
          <w:sz w:val="32"/>
          <w:szCs w:val="32"/>
        </w:rPr>
        <w:t>%的比例，且</w:t>
      </w:r>
      <w:r>
        <w:rPr>
          <w:rFonts w:hint="eastAsia" w:ascii="仿宋_GB2312" w:eastAsia="仿宋_GB2312"/>
          <w:sz w:val="32"/>
        </w:rPr>
        <w:t>不超过</w:t>
      </w:r>
      <w:r>
        <w:rPr>
          <w:rFonts w:hint="eastAsia" w:ascii="仿宋_GB2312" w:hAnsi="宋体" w:eastAsia="仿宋_GB2312" w:cs="宋体"/>
          <w:sz w:val="32"/>
          <w:szCs w:val="32"/>
        </w:rPr>
        <w:t>所在分园上一年度的实际支持金额，每年给予最高不超过1</w:t>
      </w:r>
      <w:r>
        <w:rPr>
          <w:rFonts w:ascii="仿宋_GB2312" w:hAnsi="宋体" w:eastAsia="仿宋_GB2312" w:cs="宋体"/>
          <w:sz w:val="32"/>
          <w:szCs w:val="32"/>
        </w:rPr>
        <w:t>000</w:t>
      </w:r>
      <w:r>
        <w:rPr>
          <w:rFonts w:hint="eastAsia" w:ascii="仿宋_GB2312" w:hAnsi="宋体" w:eastAsia="仿宋_GB2312" w:cs="宋体"/>
          <w:sz w:val="32"/>
          <w:szCs w:val="32"/>
        </w:rPr>
        <w:t>万元的资金支持</w:t>
      </w:r>
      <w:r>
        <w:rPr>
          <w:rFonts w:hint="eastAsia" w:ascii="仿宋_GB2312" w:eastAsia="仿宋_GB2312"/>
          <w:sz w:val="32"/>
        </w:rPr>
        <w:t>。</w:t>
      </w:r>
    </w:p>
    <w:p>
      <w:pPr>
        <w:overflowPunct w:val="0"/>
        <w:snapToGrid w:val="0"/>
        <w:spacing w:line="560" w:lineRule="exact"/>
        <w:ind w:firstLine="640" w:firstLineChars="200"/>
        <w:outlineLvl w:val="1"/>
        <w:rPr>
          <w:rFonts w:ascii="楷体_GB2312" w:hAnsi="宋体" w:eastAsia="楷体_GB2312" w:cs="宋体"/>
          <w:sz w:val="32"/>
          <w:szCs w:val="32"/>
        </w:rPr>
      </w:pPr>
      <w:r>
        <w:rPr>
          <w:rFonts w:hint="eastAsia" w:ascii="楷体_GB2312" w:hAnsi="宋体" w:eastAsia="楷体_GB2312" w:cs="宋体"/>
          <w:sz w:val="32"/>
          <w:szCs w:val="32"/>
        </w:rPr>
        <w:t>（四）申报材料</w:t>
      </w:r>
    </w:p>
    <w:p>
      <w:pPr>
        <w:overflowPunct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1.《申报单位基本情况表》；</w:t>
      </w:r>
    </w:p>
    <w:p>
      <w:pPr>
        <w:overflowPunct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2.《产业促进服务机构申报表》；</w:t>
      </w:r>
    </w:p>
    <w:p>
      <w:pPr>
        <w:adjustRightInd w:val="0"/>
        <w:snapToGrid w:val="0"/>
        <w:spacing w:line="560" w:lineRule="exact"/>
        <w:ind w:firstLine="645"/>
        <w:rPr>
          <w:rFonts w:ascii="仿宋_GB2312" w:eastAsia="仿宋_GB2312"/>
          <w:sz w:val="32"/>
          <w:szCs w:val="32"/>
        </w:rPr>
      </w:pPr>
      <w:r>
        <w:rPr>
          <w:rFonts w:hint="eastAsia" w:ascii="仿宋_GB2312" w:eastAsia="仿宋_GB2312"/>
          <w:sz w:val="32"/>
          <w:szCs w:val="32"/>
        </w:rPr>
        <w:t>3.产业促进服务机构基本情况支撑材料，包括营业执照、组织机构代码、核心工作人员证明等；</w:t>
      </w:r>
    </w:p>
    <w:p>
      <w:pPr>
        <w:overflowPunct w:val="0"/>
        <w:autoSpaceDN w:val="0"/>
        <w:snapToGrid w:val="0"/>
        <w:spacing w:line="560" w:lineRule="exact"/>
        <w:ind w:firstLine="640" w:firstLineChars="200"/>
        <w:rPr>
          <w:rFonts w:ascii="仿宋_GB2312" w:hAnsi="楷体" w:eastAsia="仿宋_GB2312"/>
          <w:sz w:val="32"/>
          <w:szCs w:val="32"/>
        </w:rPr>
      </w:pPr>
      <w:r>
        <w:rPr>
          <w:rFonts w:hint="eastAsia" w:ascii="仿宋_GB2312" w:hAnsi="宋体" w:eastAsia="仿宋_GB2312" w:cs="宋体"/>
          <w:sz w:val="32"/>
          <w:szCs w:val="32"/>
        </w:rPr>
        <w:t>4.</w:t>
      </w:r>
      <w:r>
        <w:rPr>
          <w:rFonts w:hint="eastAsia" w:ascii="仿宋_GB2312" w:hAnsi="楷体" w:eastAsia="仿宋_GB2312"/>
          <w:sz w:val="32"/>
          <w:szCs w:val="32"/>
        </w:rPr>
        <w:t>与所在区政府、分园管委会等相关单位签订合作协议及已获得资金支持的支撑材料；</w:t>
      </w:r>
    </w:p>
    <w:p>
      <w:pPr>
        <w:overflowPunct w:val="0"/>
        <w:autoSpaceDN w:val="0"/>
        <w:snapToGrid w:val="0"/>
        <w:spacing w:line="560" w:lineRule="exact"/>
        <w:ind w:firstLine="640" w:firstLineChars="200"/>
        <w:rPr>
          <w:rFonts w:ascii="仿宋_GB2312" w:eastAsia="仿宋_GB2312"/>
          <w:sz w:val="32"/>
          <w:szCs w:val="32"/>
        </w:rPr>
      </w:pPr>
      <w:r>
        <w:rPr>
          <w:rFonts w:hint="eastAsia" w:ascii="仿宋_GB2312" w:hAnsi="楷体" w:eastAsia="仿宋_GB2312"/>
          <w:sz w:val="32"/>
          <w:szCs w:val="32"/>
        </w:rPr>
        <w:t>5.</w:t>
      </w:r>
      <w:r>
        <w:rPr>
          <w:rFonts w:hint="eastAsia" w:ascii="仿宋_GB2312" w:eastAsia="仿宋_GB2312"/>
          <w:sz w:val="32"/>
          <w:szCs w:val="32"/>
        </w:rPr>
        <w:t>产业促进工作开展情况及成效支撑材料，包括成果、照片等。</w:t>
      </w:r>
    </w:p>
    <w:p>
      <w:pPr>
        <w:overflowPunct w:val="0"/>
        <w:autoSpaceDN w:val="0"/>
        <w:snapToGrid w:val="0"/>
        <w:spacing w:line="560" w:lineRule="exact"/>
        <w:ind w:firstLine="640" w:firstLineChars="200"/>
        <w:rPr>
          <w:rFonts w:ascii="仿宋_GB2312" w:eastAsia="仿宋_GB2312"/>
          <w:sz w:val="32"/>
          <w:szCs w:val="32"/>
        </w:rPr>
      </w:pPr>
      <w:r>
        <w:rPr>
          <w:rFonts w:hint="eastAsia" w:ascii="仿宋_GB2312" w:hAnsi="楷体" w:eastAsia="仿宋_GB2312"/>
          <w:sz w:val="32"/>
          <w:szCs w:val="32"/>
        </w:rPr>
        <w:t>6.</w:t>
      </w:r>
      <w:r>
        <w:rPr>
          <w:rFonts w:hint="eastAsia" w:ascii="仿宋_GB2312" w:eastAsia="仿宋_GB2312"/>
          <w:sz w:val="32"/>
          <w:szCs w:val="32"/>
        </w:rPr>
        <w:t>实际投入费用清单及对应支撑材料。</w:t>
      </w:r>
    </w:p>
    <w:p>
      <w:pPr>
        <w:autoSpaceDN w:val="0"/>
        <w:adjustRightInd w:val="0"/>
        <w:snapToGrid w:val="0"/>
        <w:spacing w:line="560" w:lineRule="exact"/>
        <w:ind w:firstLine="640" w:firstLineChars="200"/>
        <w:rPr>
          <w:rFonts w:ascii="仿宋_GB2312" w:eastAsia="仿宋_GB2312" w:cs="仿宋_GB2312"/>
          <w:sz w:val="32"/>
          <w:szCs w:val="32"/>
        </w:rPr>
      </w:pPr>
    </w:p>
    <w:p>
      <w:pPr>
        <w:autoSpaceDN w:val="0"/>
        <w:adjustRightInd w:val="0"/>
        <w:snapToGrid w:val="0"/>
        <w:spacing w:line="560" w:lineRule="exact"/>
        <w:jc w:val="center"/>
        <w:outlineLvl w:val="0"/>
        <w:rPr>
          <w:rFonts w:ascii="黑体" w:eastAsia="黑体" w:cs="宋体"/>
          <w:sz w:val="32"/>
          <w:szCs w:val="32"/>
        </w:rPr>
      </w:pPr>
      <w:r>
        <w:rPr>
          <w:rFonts w:hint="eastAsia" w:ascii="黑体" w:eastAsia="黑体" w:cs="宋体"/>
          <w:sz w:val="32"/>
          <w:szCs w:val="32"/>
        </w:rPr>
        <w:t>第三章  定向组织类项目支持内容与条件</w:t>
      </w:r>
    </w:p>
    <w:p>
      <w:pPr>
        <w:overflowPunct w:val="0"/>
        <w:adjustRightInd w:val="0"/>
        <w:snapToGrid w:val="0"/>
        <w:spacing w:line="560" w:lineRule="exact"/>
        <w:ind w:firstLine="640" w:firstLineChars="200"/>
        <w:outlineLvl w:val="1"/>
        <w:rPr>
          <w:rFonts w:ascii="仿宋_GB2312" w:eastAsia="仿宋_GB2312" w:cs="宋体"/>
          <w:sz w:val="32"/>
          <w:szCs w:val="32"/>
        </w:rPr>
      </w:pPr>
      <w:r>
        <w:rPr>
          <w:rFonts w:hint="eastAsia" w:ascii="仿宋_GB2312" w:eastAsia="仿宋_GB2312" w:cs="宋体"/>
          <w:sz w:val="32"/>
          <w:szCs w:val="32"/>
        </w:rPr>
        <w:t>第十条  支持具有国际影响力的企业和研发机构集聚。</w:t>
      </w:r>
    </w:p>
    <w:p>
      <w:pPr>
        <w:overflowPunct w:val="0"/>
        <w:adjustRightInd w:val="0"/>
        <w:snapToGrid w:val="0"/>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（一）支持内容</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kern w:val="0"/>
          <w:sz w:val="32"/>
          <w:szCs w:val="32"/>
        </w:rPr>
        <w:t>支持国际领军创新型企业及</w:t>
      </w:r>
      <w:r>
        <w:rPr>
          <w:rFonts w:hint="eastAsia" w:ascii="仿宋_GB2312" w:eastAsia="仿宋_GB2312" w:cs="宋体"/>
          <w:sz w:val="32"/>
          <w:szCs w:val="32"/>
        </w:rPr>
        <w:t>国际一流</w:t>
      </w:r>
      <w:r>
        <w:rPr>
          <w:rFonts w:hint="eastAsia" w:ascii="仿宋_GB2312" w:eastAsia="仿宋_GB2312" w:cs="宋体"/>
          <w:kern w:val="0"/>
          <w:sz w:val="32"/>
          <w:szCs w:val="32"/>
        </w:rPr>
        <w:t>研发机构在中关村示范区设立区域总部、</w:t>
      </w:r>
      <w:r>
        <w:rPr>
          <w:rFonts w:hint="eastAsia" w:ascii="仿宋_GB2312" w:eastAsia="仿宋_GB2312" w:cs="宋体"/>
          <w:sz w:val="32"/>
          <w:szCs w:val="32"/>
        </w:rPr>
        <w:t>研发中心、</w:t>
      </w:r>
      <w:r>
        <w:rPr>
          <w:rFonts w:hint="eastAsia" w:ascii="仿宋_GB2312" w:eastAsia="仿宋_GB2312" w:cs="宋体"/>
          <w:kern w:val="0"/>
          <w:sz w:val="32"/>
          <w:szCs w:val="32"/>
        </w:rPr>
        <w:t>技术转移机构</w:t>
      </w:r>
      <w:r>
        <w:rPr>
          <w:rFonts w:hint="eastAsia" w:ascii="仿宋_GB2312" w:eastAsia="仿宋_GB2312" w:cs="宋体"/>
          <w:sz w:val="32"/>
          <w:szCs w:val="32"/>
        </w:rPr>
        <w:t>，支持建设国际科技合作集聚园区。</w:t>
      </w:r>
    </w:p>
    <w:p>
      <w:pPr>
        <w:overflowPunct w:val="0"/>
        <w:adjustRightInd w:val="0"/>
        <w:snapToGrid w:val="0"/>
        <w:spacing w:line="560" w:lineRule="exact"/>
        <w:ind w:firstLine="640" w:firstLineChars="200"/>
        <w:outlineLvl w:val="1"/>
        <w:rPr>
          <w:rFonts w:ascii="楷体_GB2312" w:eastAsia="楷体_GB2312" w:cs="宋体"/>
          <w:kern w:val="0"/>
          <w:sz w:val="32"/>
          <w:szCs w:val="32"/>
        </w:rPr>
      </w:pPr>
      <w:r>
        <w:rPr>
          <w:rFonts w:hint="eastAsia" w:ascii="楷体_GB2312" w:eastAsia="楷体_GB2312" w:cs="宋体"/>
          <w:kern w:val="0"/>
          <w:sz w:val="32"/>
          <w:szCs w:val="32"/>
        </w:rPr>
        <w:t>（二）支持条件</w:t>
      </w:r>
    </w:p>
    <w:p>
      <w:pPr>
        <w:autoSpaceDN w:val="0"/>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国际领军创新型企业及国际一流的研发机构在中关村示范区设立的区域总部、研发中心、技术转移机构主营业务应符合本</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第三条确定的</w:t>
      </w:r>
      <w:r>
        <w:rPr>
          <w:rFonts w:hint="eastAsia" w:ascii="仿宋_GB2312" w:eastAsia="仿宋_GB2312" w:cs="宋体"/>
          <w:sz w:val="32"/>
          <w:szCs w:val="32"/>
        </w:rPr>
        <w:t>重点产业领域</w:t>
      </w:r>
      <w:r>
        <w:rPr>
          <w:rFonts w:hint="eastAsia" w:ascii="仿宋_GB2312" w:eastAsia="仿宋_GB2312" w:cs="宋体"/>
          <w:kern w:val="0"/>
          <w:sz w:val="32"/>
          <w:szCs w:val="32"/>
        </w:rPr>
        <w:t>，对产业发展具有很强的示范带动作用，有效提升中关村示范区产业国际竞争力。</w:t>
      </w:r>
    </w:p>
    <w:p>
      <w:pPr>
        <w:autoSpaceDN w:val="0"/>
        <w:adjustRightInd w:val="0"/>
        <w:snapToGrid w:val="0"/>
        <w:spacing w:line="560" w:lineRule="exact"/>
        <w:ind w:firstLine="640" w:firstLineChars="200"/>
        <w:rPr>
          <w:rFonts w:ascii="仿宋_GB2312" w:eastAsia="仿宋_GB2312" w:cs="宋体"/>
          <w:sz w:val="32"/>
          <w:szCs w:val="32"/>
        </w:rPr>
      </w:pPr>
      <w:r>
        <w:rPr>
          <w:rFonts w:hint="eastAsia" w:ascii="仿宋_GB2312" w:eastAsia="仿宋_GB2312" w:cs="宋体"/>
          <w:kern w:val="0"/>
          <w:sz w:val="32"/>
          <w:szCs w:val="32"/>
        </w:rPr>
        <w:t>国际科技合作集聚园区主导产业应符合本</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第三条确定的</w:t>
      </w:r>
      <w:r>
        <w:rPr>
          <w:rFonts w:hint="eastAsia" w:ascii="仿宋_GB2312" w:eastAsia="仿宋_GB2312" w:cs="宋体"/>
          <w:sz w:val="32"/>
          <w:szCs w:val="32"/>
        </w:rPr>
        <w:t>重点产业领域，</w:t>
      </w:r>
      <w:r>
        <w:rPr>
          <w:rFonts w:hint="eastAsia" w:ascii="仿宋_GB2312" w:eastAsia="仿宋_GB2312"/>
          <w:sz w:val="32"/>
          <w:szCs w:val="32"/>
        </w:rPr>
        <w:t>引导国际技术、人才、资本等创新要素资源集聚，吸引国外创新型企业及专业服务机构等入驻，产业集聚度高、带动性强，能有效提升中关村示范区国际化水平。</w:t>
      </w:r>
    </w:p>
    <w:p>
      <w:pPr>
        <w:overflowPunct w:val="0"/>
        <w:adjustRightInd w:val="0"/>
        <w:snapToGrid w:val="0"/>
        <w:spacing w:line="560" w:lineRule="exact"/>
        <w:ind w:firstLine="640" w:firstLineChars="200"/>
        <w:outlineLvl w:val="1"/>
        <w:rPr>
          <w:rFonts w:ascii="楷体_GB2312" w:eastAsia="楷体_GB2312"/>
          <w:sz w:val="32"/>
          <w:szCs w:val="32"/>
        </w:rPr>
      </w:pPr>
      <w:r>
        <w:rPr>
          <w:rFonts w:hint="eastAsia" w:ascii="楷体_GB2312" w:eastAsia="楷体_GB2312"/>
          <w:sz w:val="32"/>
          <w:szCs w:val="32"/>
        </w:rPr>
        <w:t>（三）支持额度</w:t>
      </w:r>
    </w:p>
    <w:p>
      <w:pPr>
        <w:autoSpaceDN w:val="0"/>
        <w:adjustRightInd w:val="0"/>
        <w:snapToGrid w:val="0"/>
        <w:spacing w:line="560" w:lineRule="exact"/>
        <w:ind w:firstLine="640" w:firstLineChars="200"/>
        <w:rPr>
          <w:rFonts w:ascii="仿宋_GB2312" w:eastAsia="仿宋_GB2312" w:cs="宋体"/>
          <w:kern w:val="0"/>
          <w:sz w:val="32"/>
          <w:szCs w:val="32"/>
        </w:rPr>
      </w:pPr>
      <w:r>
        <w:rPr>
          <w:rFonts w:hint="eastAsia" w:ascii="仿宋_GB2312" w:eastAsia="仿宋_GB2312" w:cs="宋体"/>
          <w:sz w:val="32"/>
          <w:szCs w:val="32"/>
        </w:rPr>
        <w:t>按照市委市政府决策部署和相关支持协议，</w:t>
      </w:r>
      <w:r>
        <w:rPr>
          <w:rFonts w:hint="eastAsia" w:ascii="仿宋_GB2312" w:eastAsia="仿宋_GB2312"/>
          <w:sz w:val="32"/>
          <w:szCs w:val="32"/>
        </w:rPr>
        <w:t>每年给予最高不超过2000万元的资金支持</w:t>
      </w:r>
      <w:r>
        <w:rPr>
          <w:rFonts w:hint="eastAsia" w:ascii="仿宋_GB2312" w:eastAsia="仿宋_GB2312" w:cs="宋体"/>
          <w:kern w:val="0"/>
          <w:sz w:val="32"/>
          <w:szCs w:val="32"/>
        </w:rPr>
        <w:t>。</w:t>
      </w:r>
    </w:p>
    <w:p>
      <w:pPr>
        <w:autoSpaceDN w:val="0"/>
        <w:adjustRightInd w:val="0"/>
        <w:snapToGrid w:val="0"/>
        <w:spacing w:line="560" w:lineRule="exact"/>
        <w:ind w:firstLine="640" w:firstLineChars="200"/>
        <w:rPr>
          <w:rFonts w:ascii="仿宋_GB2312" w:eastAsia="仿宋_GB2312" w:cs="宋体"/>
          <w:kern w:val="0"/>
          <w:sz w:val="32"/>
          <w:szCs w:val="32"/>
        </w:rPr>
      </w:pPr>
    </w:p>
    <w:p>
      <w:pPr>
        <w:autoSpaceDN w:val="0"/>
        <w:adjustRightInd w:val="0"/>
        <w:snapToGrid w:val="0"/>
        <w:spacing w:line="560" w:lineRule="exact"/>
        <w:jc w:val="center"/>
        <w:outlineLvl w:val="0"/>
        <w:rPr>
          <w:rFonts w:ascii="黑体" w:eastAsia="黑体" w:cs="宋体"/>
          <w:sz w:val="32"/>
          <w:szCs w:val="32"/>
        </w:rPr>
      </w:pPr>
      <w:r>
        <w:rPr>
          <w:rFonts w:hint="eastAsia" w:ascii="黑体" w:eastAsia="黑体" w:cs="宋体"/>
          <w:sz w:val="32"/>
          <w:szCs w:val="32"/>
        </w:rPr>
        <w:t>第四章  申请审核与监督管理</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第十一条  项目申报。</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（一）公开征集。本</w:t>
      </w:r>
      <w:r>
        <w:rPr>
          <w:rFonts w:hint="eastAsia" w:ascii="仿宋_GB2312" w:eastAsia="仿宋_GB2312" w:cs="宋体"/>
          <w:sz w:val="32"/>
          <w:szCs w:val="32"/>
          <w:lang w:eastAsia="zh-CN"/>
        </w:rPr>
        <w:t>实施细则</w:t>
      </w:r>
      <w:r>
        <w:rPr>
          <w:rFonts w:hint="eastAsia" w:ascii="仿宋_GB2312" w:eastAsia="仿宋_GB2312" w:cs="宋体"/>
          <w:sz w:val="32"/>
          <w:szCs w:val="32"/>
        </w:rPr>
        <w:t>第五至九条面向社会公开征集。申报单位申请精准支持资金有关申报时间、申报方式、支持事项发生时间等事项，以在中关村示范区网站（http://zgcgw.beijing.gov.cn）上发布的具体项目申报通知为准，项目申报采取线上、线下申报相结合的方式，同一项目只能申请一类支持资金。</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（二）定向组织。本</w:t>
      </w:r>
      <w:r>
        <w:rPr>
          <w:rFonts w:hint="eastAsia" w:ascii="仿宋_GB2312" w:eastAsia="仿宋_GB2312" w:cs="宋体"/>
          <w:sz w:val="32"/>
          <w:szCs w:val="32"/>
          <w:lang w:eastAsia="zh-CN"/>
        </w:rPr>
        <w:t>实施细则</w:t>
      </w:r>
      <w:r>
        <w:rPr>
          <w:rFonts w:hint="eastAsia" w:ascii="仿宋_GB2312" w:eastAsia="仿宋_GB2312" w:cs="宋体"/>
          <w:sz w:val="32"/>
          <w:szCs w:val="32"/>
        </w:rPr>
        <w:t>第十条主要支持落实市委市政府重大决策部署的项目，由中关村管委会定向组织申报，同一项目只能申请一类支持资金。</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第十二条  项目受理与分园推荐。申报单位按照本</w:t>
      </w:r>
      <w:r>
        <w:rPr>
          <w:rFonts w:hint="eastAsia" w:ascii="仿宋_GB2312" w:eastAsia="仿宋_GB2312" w:cs="宋体"/>
          <w:sz w:val="32"/>
          <w:szCs w:val="32"/>
          <w:lang w:eastAsia="zh-CN"/>
        </w:rPr>
        <w:t>实施细则</w:t>
      </w:r>
      <w:r>
        <w:rPr>
          <w:rFonts w:hint="eastAsia" w:ascii="仿宋_GB2312" w:eastAsia="仿宋_GB2312" w:cs="宋体"/>
          <w:sz w:val="32"/>
          <w:szCs w:val="32"/>
        </w:rPr>
        <w:t>和申报通知要求，填写相关表格，提供相应申报材料和说明文件。中关村管委会组织各分园管委会负责项目申报受理和初审工作，各分园管委会择优向中关村管委会进行推荐。</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第十三条  项目审定。</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（一）审核。中关村管委会或委托第三方机构开展申报项目审核工作，审核重点为申报项目是否符合《若干措施》和本</w:t>
      </w:r>
      <w:r>
        <w:rPr>
          <w:rFonts w:hint="eastAsia" w:ascii="仿宋_GB2312" w:eastAsia="仿宋_GB2312" w:cs="宋体"/>
          <w:sz w:val="32"/>
          <w:szCs w:val="32"/>
          <w:lang w:eastAsia="zh-CN"/>
        </w:rPr>
        <w:t>实施细则</w:t>
      </w:r>
      <w:r>
        <w:rPr>
          <w:rFonts w:hint="eastAsia" w:ascii="仿宋_GB2312" w:eastAsia="仿宋_GB2312" w:cs="宋体"/>
          <w:sz w:val="32"/>
          <w:szCs w:val="32"/>
        </w:rPr>
        <w:t>规定的条件，申报单位是否具备相应资质以及项目申报书内容是否完备、真实、准确等。</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（二）专家论证。中关村管委会组织专家对项目的实施意义和必要性、项目实施内容及创新水平、绩效目标与进度安排、申报单位实施基础与预算安排等方面进行论证，提出是否予以支持的论证意见。</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（三）审议支持方案。中关村管委会根据专家论证意见，结合项目实施目标、建设内容、绩效目标、支持方式、预算审核等形成支持方案，并进行会议审议。</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四）公示和签订协议。对拟支持的项目，在中关村示范区网站进行公示，公示期不少于5个工作日。经公示无异议的项目，中关村管委会与项目实施单位签署协议，明确项目实施内容及绩效目标等，并将支持资金拨付至实施单位。拨付支持资金时，如企业或机构注册地迁出中关村示范区，或将主要的纳税业务迁出北京市，不再予以支持。</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第十四条  项目实施。项目实施单位应按照项目支持协议书认真组织项目实施工作，中关村管委会负责对项目实施情况进行监督和绩效管理。对于分阶段持续支持的项目，项目实施单位在申请后续资金支持时，应提交上一阶段绩效目标完成情况报告，中关村管委会组织专家对项目阶段绩效目标完成情况和项目单位发展情况进行综合考核评估，根据评估情况，确定是否给予后续支持。</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第十五条  项目验收。项目实施完成时，项目实施单位应提交项目实施总结报告，中关村管委会组织专家对项目实施情况进行验收检查。未通过验收考核的项目，中关村管委会将停止拨付支持资金，对已拨付资金使用情况进行审计，并做出相应处理。</w:t>
      </w:r>
    </w:p>
    <w:p>
      <w:pPr>
        <w:autoSpaceDN w:val="0"/>
        <w:adjustRightInd w:val="0"/>
        <w:snapToGrid w:val="0"/>
        <w:spacing w:line="520" w:lineRule="exact"/>
        <w:ind w:firstLine="640" w:firstLineChars="200"/>
        <w:rPr>
          <w:rFonts w:ascii="仿宋_GB2312" w:eastAsia="仿宋_GB2312"/>
          <w:sz w:val="32"/>
          <w:szCs w:val="32"/>
        </w:rPr>
      </w:pPr>
      <w:r>
        <w:rPr>
          <w:rFonts w:hint="eastAsia" w:ascii="仿宋_GB2312" w:eastAsia="仿宋_GB2312" w:cs="宋体"/>
          <w:sz w:val="32"/>
          <w:szCs w:val="32"/>
        </w:rPr>
        <w:t>第十六条  项目延期。</w:t>
      </w:r>
      <w:r>
        <w:rPr>
          <w:rFonts w:hint="eastAsia" w:ascii="仿宋_GB2312" w:eastAsia="仿宋_GB2312"/>
          <w:sz w:val="32"/>
          <w:szCs w:val="32"/>
        </w:rPr>
        <w:t>对因不可抗力等原因，造成无法按期完成的项目，</w:t>
      </w:r>
      <w:r>
        <w:rPr>
          <w:rFonts w:hint="eastAsia" w:ascii="仿宋_GB2312" w:eastAsia="仿宋_GB2312" w:cs="宋体"/>
          <w:sz w:val="32"/>
          <w:szCs w:val="32"/>
        </w:rPr>
        <w:t>项目实施</w:t>
      </w:r>
      <w:r>
        <w:rPr>
          <w:rFonts w:hint="eastAsia" w:ascii="仿宋_GB2312" w:eastAsia="仿宋_GB2312"/>
          <w:sz w:val="32"/>
          <w:szCs w:val="32"/>
        </w:rPr>
        <w:t>单位应向中关村管委会提交项目延期申请，经中关村管委会批复后进行延期。项目延期期间，当年度支持资金不予拨付。</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第十七条  项目变更与终止。项目实施过程中，发现申报材料弄虚作假、项目目标或实施内容发生重大变化、项目实施单位发生重大经营风险的，中关村管委会将提出项目变更或终止意见。对决定终止实施的项目，中关村管委会将停止拨付支持资金，对已拨付资金使用情况进行审计，并做出相应处理。</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第十八条  项目实施单位须按国家相关会计制度进行独立核算等账务管理，同时应接受中关村管委会的监督、检查和审计，并配合开展宣传、调研、报送信息、提交资金使用效益分析报告等工作。对支持资金使用中违反法律法规的行为，依据《中华人民共和国预算法》《中华人民共和国会计法》和《财政违法行为处罚处分条例》等规定进行处理。</w:t>
      </w:r>
    </w:p>
    <w:p>
      <w:pPr>
        <w:autoSpaceDN w:val="0"/>
        <w:adjustRightInd w:val="0"/>
        <w:snapToGrid w:val="0"/>
        <w:spacing w:line="520" w:lineRule="exact"/>
        <w:ind w:firstLine="640" w:firstLineChars="200"/>
        <w:rPr>
          <w:rFonts w:ascii="仿宋_GB2312" w:eastAsia="仿宋_GB2312" w:cs="宋体"/>
          <w:sz w:val="32"/>
          <w:szCs w:val="32"/>
        </w:rPr>
      </w:pPr>
      <w:r>
        <w:rPr>
          <w:rFonts w:hint="eastAsia" w:ascii="仿宋_GB2312" w:eastAsia="仿宋_GB2312" w:cs="宋体"/>
          <w:sz w:val="32"/>
          <w:szCs w:val="32"/>
        </w:rPr>
        <w:t>第十九条  项目实施单位应承诺提交的材料真实、合法、有效，并对此承担法律责任。对于弄虚作假骗取支持资金的单位，除按以上规定处理外，中关村管委会将在中关村示范区网站予以通报，责令其退回已拨付资金并支付相应的利息（按同期人民银行公布的活期存款利率为准进行计算），今后不再受理其相关公共政策支持资金的申请。违反法律规定的，移送司法机关依法处理。</w:t>
      </w:r>
    </w:p>
    <w:p>
      <w:pPr>
        <w:pStyle w:val="2"/>
        <w:adjustRightInd w:val="0"/>
        <w:snapToGrid w:val="0"/>
        <w:spacing w:line="520" w:lineRule="exact"/>
        <w:ind w:firstLine="640"/>
        <w:rPr>
          <w:rFonts w:ascii="仿宋_GB2312" w:hAnsi="Times New Roman" w:eastAsia="仿宋_GB2312" w:cs="宋体"/>
          <w:b w:val="0"/>
          <w:sz w:val="32"/>
          <w:szCs w:val="32"/>
        </w:rPr>
      </w:pPr>
      <w:r>
        <w:rPr>
          <w:rFonts w:hint="eastAsia" w:ascii="仿宋_GB2312" w:hAnsi="Times New Roman" w:eastAsia="仿宋_GB2312" w:cs="宋体"/>
          <w:b w:val="0"/>
          <w:sz w:val="32"/>
          <w:szCs w:val="32"/>
        </w:rPr>
        <w:t>第二十条  项目实施单位的企业信用应符合国家信用体系建设的指导精神，已被列入失信企业惩戒名单的申报企业不得申请支持资金。对于项目实施期间，被列入失信企业惩戒名单的项目实施单位，中关村管委会将在中关村示范区网站予以通报，责令其退回已拨付资金并支付相应的利息（按同期人民银行公布的活期存款利率为准进行计算）。</w:t>
      </w:r>
    </w:p>
    <w:p>
      <w:pPr>
        <w:pStyle w:val="3"/>
        <w:ind w:firstLine="640"/>
        <w:rPr>
          <w:rFonts w:ascii="仿宋_GB2312" w:eastAsia="仿宋_GB2312" w:cs="宋体"/>
          <w:sz w:val="32"/>
          <w:szCs w:val="32"/>
        </w:rPr>
      </w:pPr>
    </w:p>
    <w:p>
      <w:pPr>
        <w:autoSpaceDN w:val="0"/>
        <w:adjustRightInd w:val="0"/>
        <w:snapToGrid w:val="0"/>
        <w:spacing w:line="520" w:lineRule="exact"/>
        <w:jc w:val="center"/>
        <w:outlineLvl w:val="0"/>
        <w:rPr>
          <w:rFonts w:ascii="黑体" w:eastAsia="黑体" w:cs="宋体"/>
          <w:sz w:val="32"/>
          <w:szCs w:val="32"/>
        </w:rPr>
      </w:pPr>
      <w:r>
        <w:rPr>
          <w:rFonts w:hint="eastAsia" w:ascii="黑体" w:eastAsia="黑体" w:cs="宋体"/>
          <w:sz w:val="32"/>
          <w:szCs w:val="32"/>
        </w:rPr>
        <w:t>第五章  附则</w:t>
      </w:r>
    </w:p>
    <w:p>
      <w:pPr>
        <w:autoSpaceDN w:val="0"/>
        <w:adjustRightInd w:val="0"/>
        <w:snapToGrid w:val="0"/>
        <w:spacing w:line="520" w:lineRule="exact"/>
        <w:ind w:firstLine="640" w:firstLineChars="200"/>
        <w:rPr>
          <w:rFonts w:ascii="仿宋_GB2312" w:eastAsia="仿宋_GB2312" w:cs="宋体"/>
          <w:kern w:val="0"/>
          <w:sz w:val="32"/>
          <w:szCs w:val="32"/>
        </w:rPr>
      </w:pPr>
      <w:r>
        <w:rPr>
          <w:rFonts w:hint="eastAsia" w:ascii="仿宋_GB2312" w:eastAsia="仿宋_GB2312" w:cs="宋体"/>
          <w:sz w:val="32"/>
          <w:szCs w:val="32"/>
        </w:rPr>
        <w:t xml:space="preserve">第二十一条  </w:t>
      </w:r>
      <w:r>
        <w:rPr>
          <w:rFonts w:hint="eastAsia" w:ascii="仿宋_GB2312" w:eastAsia="仿宋_GB2312" w:cs="宋体"/>
          <w:kern w:val="0"/>
          <w:sz w:val="32"/>
          <w:szCs w:val="32"/>
        </w:rPr>
        <w:t>本</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由中关村管委会负责解释。</w:t>
      </w:r>
    </w:p>
    <w:p>
      <w:pPr>
        <w:autoSpaceDN w:val="0"/>
        <w:adjustRightInd w:val="0"/>
        <w:snapToGrid w:val="0"/>
        <w:spacing w:line="520" w:lineRule="exact"/>
        <w:ind w:firstLine="640" w:firstLineChars="200"/>
        <w:rPr>
          <w:rFonts w:ascii="仿宋_GB2312" w:eastAsia="仿宋_GB2312" w:cs="宋体"/>
          <w:spacing w:val="-20"/>
          <w:sz w:val="32"/>
          <w:szCs w:val="32"/>
        </w:rPr>
      </w:pPr>
      <w:r>
        <w:rPr>
          <w:rFonts w:hint="eastAsia" w:ascii="仿宋_GB2312" w:eastAsia="仿宋_GB2312" w:cs="宋体"/>
          <w:kern w:val="0"/>
          <w:sz w:val="32"/>
          <w:szCs w:val="32"/>
        </w:rPr>
        <w:t>第二十二条  本</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自印发之日起施行。原《〈关于精准支持中关村国家自主创新示范区重大前沿项目与创新平台建设的若干措施〉</w:t>
      </w:r>
      <w:r>
        <w:rPr>
          <w:rFonts w:hint="eastAsia" w:ascii="仿宋_GB2312" w:eastAsia="仿宋_GB2312" w:cs="宋体"/>
          <w:kern w:val="0"/>
          <w:sz w:val="32"/>
          <w:szCs w:val="32"/>
          <w:lang w:eastAsia="zh-CN"/>
        </w:rPr>
        <w:t>实施细则</w:t>
      </w:r>
      <w:r>
        <w:rPr>
          <w:rFonts w:hint="eastAsia" w:ascii="仿宋_GB2312" w:eastAsia="仿宋_GB2312" w:cs="宋体"/>
          <w:kern w:val="0"/>
          <w:sz w:val="32"/>
          <w:szCs w:val="32"/>
        </w:rPr>
        <w:t>（试行）》（</w:t>
      </w:r>
      <w:r>
        <w:rPr>
          <w:rFonts w:hint="eastAsia" w:ascii="仿宋_GB2312" w:eastAsia="仿宋_GB2312"/>
          <w:sz w:val="32"/>
          <w:szCs w:val="32"/>
        </w:rPr>
        <w:t>中科园发〔2019〕25号</w:t>
      </w:r>
      <w:r>
        <w:rPr>
          <w:rFonts w:hint="eastAsia" w:ascii="仿宋_GB2312" w:eastAsia="仿宋_GB2312" w:cs="宋体"/>
          <w:kern w:val="0"/>
          <w:sz w:val="32"/>
          <w:szCs w:val="32"/>
        </w:rPr>
        <w:t>）同时废止。</w:t>
      </w:r>
    </w:p>
    <w:sectPr>
      <w:footerReference r:id="rId3" w:type="default"/>
      <w:footerReference r:id="rId4" w:type="even"/>
      <w:pgSz w:w="11906" w:h="16838"/>
      <w:pgMar w:top="1531" w:right="1531" w:bottom="1531" w:left="1531"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Arial">
    <w:altName w:val="DejaVu Sans"/>
    <w:panose1 w:val="020B0604020202020204"/>
    <w:charset w:val="00"/>
    <w:family w:val="swiss"/>
    <w:pitch w:val="default"/>
    <w:sig w:usb0="00000000" w:usb1="00000000" w:usb2="00000009" w:usb3="00000000" w:csb0="000001FF" w:csb1="00000000"/>
  </w:font>
  <w:font w:name="黑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1 -</w:t>
    </w:r>
    <w:r>
      <w:rPr>
        <w:rFonts w:hint="eastAsia" w:ascii="宋体"/>
        <w:sz w:val="28"/>
        <w:szCs w:val="28"/>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ascii="宋体"/>
        <w:sz w:val="28"/>
        <w:szCs w:val="28"/>
        <w:lang w:val="zh-CN"/>
      </w:rPr>
      <w:t>-</w:t>
    </w:r>
    <w:r>
      <w:rPr>
        <w:rFonts w:ascii="宋体"/>
        <w:sz w:val="28"/>
        <w:szCs w:val="28"/>
      </w:rPr>
      <w:t xml:space="preserve"> 2 -</w:t>
    </w:r>
    <w:r>
      <w:rPr>
        <w:rFonts w:hint="eastAsia" w:ascii="宋体"/>
        <w:sz w:val="28"/>
        <w:szCs w:val="28"/>
      </w:rP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0"/>
        </w:tabs>
        <w:ind w:left="780" w:hanging="420"/>
      </w:pPr>
    </w:lvl>
    <w:lvl w:ilvl="1" w:tentative="0">
      <w:start w:val="1"/>
      <w:numFmt w:val="lowerLetter"/>
      <w:lvlText w:val="%2)"/>
      <w:lvlJc w:val="left"/>
      <w:pPr>
        <w:tabs>
          <w:tab w:val="left" w:pos="0"/>
        </w:tabs>
        <w:ind w:left="60" w:hanging="420"/>
      </w:pPr>
    </w:lvl>
    <w:lvl w:ilvl="2" w:tentative="0">
      <w:start w:val="1"/>
      <w:numFmt w:val="lowerRoman"/>
      <w:lvlText w:val="%3."/>
      <w:lvlJc w:val="right"/>
      <w:pPr>
        <w:tabs>
          <w:tab w:val="left" w:pos="0"/>
        </w:tabs>
        <w:ind w:left="360" w:hanging="420"/>
      </w:pPr>
    </w:lvl>
    <w:lvl w:ilvl="3" w:tentative="0">
      <w:start w:val="1"/>
      <w:numFmt w:val="decimal"/>
      <w:lvlText w:val="%4."/>
      <w:lvlJc w:val="left"/>
      <w:pPr>
        <w:tabs>
          <w:tab w:val="left" w:pos="0"/>
        </w:tabs>
        <w:ind w:left="780" w:hanging="420"/>
      </w:pPr>
    </w:lvl>
    <w:lvl w:ilvl="4" w:tentative="0">
      <w:start w:val="1"/>
      <w:numFmt w:val="lowerLetter"/>
      <w:lvlText w:val="%5)"/>
      <w:lvlJc w:val="left"/>
      <w:pPr>
        <w:tabs>
          <w:tab w:val="left" w:pos="0"/>
        </w:tabs>
        <w:ind w:left="1200" w:hanging="420"/>
      </w:pPr>
    </w:lvl>
    <w:lvl w:ilvl="5" w:tentative="0">
      <w:start w:val="1"/>
      <w:numFmt w:val="lowerRoman"/>
      <w:lvlText w:val="%6."/>
      <w:lvlJc w:val="right"/>
      <w:pPr>
        <w:tabs>
          <w:tab w:val="left" w:pos="0"/>
        </w:tabs>
        <w:ind w:left="1620" w:hanging="420"/>
      </w:pPr>
    </w:lvl>
    <w:lvl w:ilvl="6" w:tentative="0">
      <w:start w:val="1"/>
      <w:numFmt w:val="decimal"/>
      <w:lvlText w:val="%7."/>
      <w:lvlJc w:val="left"/>
      <w:pPr>
        <w:tabs>
          <w:tab w:val="left" w:pos="0"/>
        </w:tabs>
        <w:ind w:left="2040" w:hanging="420"/>
      </w:pPr>
    </w:lvl>
    <w:lvl w:ilvl="7" w:tentative="0">
      <w:start w:val="1"/>
      <w:numFmt w:val="lowerLetter"/>
      <w:pStyle w:val="90"/>
      <w:lvlText w:val="%8)"/>
      <w:lvlJc w:val="left"/>
      <w:pPr>
        <w:tabs>
          <w:tab w:val="left" w:pos="0"/>
        </w:tabs>
        <w:ind w:left="2460" w:hanging="420"/>
      </w:pPr>
    </w:lvl>
    <w:lvl w:ilvl="8" w:tentative="0">
      <w:start w:val="1"/>
      <w:numFmt w:val="lowerRoman"/>
      <w:lvlText w:val="%9."/>
      <w:lvlJc w:val="right"/>
      <w:pPr>
        <w:tabs>
          <w:tab w:val="left" w:pos="0"/>
        </w:tabs>
        <w:ind w:left="2880" w:hanging="420"/>
      </w:pPr>
    </w:lvl>
  </w:abstractNum>
  <w:abstractNum w:abstractNumId="1">
    <w:nsid w:val="3D0F2231"/>
    <w:multiLevelType w:val="singleLevel"/>
    <w:tmpl w:val="3D0F2231"/>
    <w:lvl w:ilvl="0" w:tentative="0">
      <w:start w:val="1"/>
      <w:numFmt w:val="chineseCountingThousand"/>
      <w:pStyle w:val="5"/>
      <w:lvlText w:val="%1. "/>
      <w:lvlJc w:val="left"/>
      <w:pPr>
        <w:tabs>
          <w:tab w:val="left" w:pos="0"/>
        </w:tabs>
        <w:ind w:left="0" w:firstLine="567"/>
      </w:pPr>
      <w:rPr>
        <w:rFonts w:hint="eastAsia"/>
      </w:rPr>
    </w:lvl>
  </w:abstractNum>
  <w:abstractNum w:abstractNumId="2">
    <w:nsid w:val="7BE855B1"/>
    <w:multiLevelType w:val="singleLevel"/>
    <w:tmpl w:val="7BE855B1"/>
    <w:lvl w:ilvl="0" w:tentative="0">
      <w:start w:val="1"/>
      <w:numFmt w:val="decimal"/>
      <w:pStyle w:val="7"/>
      <w:lvlText w:val="%1."/>
      <w:lvlJc w:val="left"/>
      <w:pPr>
        <w:tabs>
          <w:tab w:val="left" w:pos="0"/>
        </w:tabs>
        <w:ind w:left="0" w:firstLine="567"/>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bordersDoNotSurroundHeader w:val="1"/>
  <w:bordersDoNotSurroundFooter w:val="1"/>
  <w:documentProtection w:edit="readOnly" w:enforcement="0"/>
  <w:defaultTabStop w:val="425"/>
  <w:evenAndOddHeaders w:val="1"/>
  <w:drawingGridHorizontalSpacing w:val="105"/>
  <w:drawingGridVerticalSpacing w:val="156"/>
  <w:noPunctuationKerning w:val="1"/>
  <w:characterSpacingControl w:val="compressPunctuation"/>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F01"/>
    <w:rsid w:val="000F628F"/>
    <w:rsid w:val="0012274B"/>
    <w:rsid w:val="00126224"/>
    <w:rsid w:val="001A09BF"/>
    <w:rsid w:val="001B36F9"/>
    <w:rsid w:val="00273AC3"/>
    <w:rsid w:val="00382F54"/>
    <w:rsid w:val="00453B0B"/>
    <w:rsid w:val="0047325B"/>
    <w:rsid w:val="004C0795"/>
    <w:rsid w:val="00522F01"/>
    <w:rsid w:val="0053253E"/>
    <w:rsid w:val="006903A7"/>
    <w:rsid w:val="00692879"/>
    <w:rsid w:val="006C5534"/>
    <w:rsid w:val="006E2F55"/>
    <w:rsid w:val="0074557D"/>
    <w:rsid w:val="007E2BE7"/>
    <w:rsid w:val="00862D64"/>
    <w:rsid w:val="00864D95"/>
    <w:rsid w:val="008A5B54"/>
    <w:rsid w:val="008D3917"/>
    <w:rsid w:val="009B5C3F"/>
    <w:rsid w:val="00A06070"/>
    <w:rsid w:val="00A52BE1"/>
    <w:rsid w:val="00A9379D"/>
    <w:rsid w:val="00AE3179"/>
    <w:rsid w:val="00B07136"/>
    <w:rsid w:val="00B146CF"/>
    <w:rsid w:val="00B27783"/>
    <w:rsid w:val="00B85321"/>
    <w:rsid w:val="00C96053"/>
    <w:rsid w:val="00CA3210"/>
    <w:rsid w:val="00CE1E3F"/>
    <w:rsid w:val="00CE1F45"/>
    <w:rsid w:val="00D14ADA"/>
    <w:rsid w:val="00DB18B0"/>
    <w:rsid w:val="00DB3367"/>
    <w:rsid w:val="00E61A4E"/>
    <w:rsid w:val="00F55394"/>
    <w:rsid w:val="071B23B9"/>
    <w:rsid w:val="088B70FC"/>
    <w:rsid w:val="08905744"/>
    <w:rsid w:val="08B431EF"/>
    <w:rsid w:val="0E285F26"/>
    <w:rsid w:val="106649D3"/>
    <w:rsid w:val="128368D6"/>
    <w:rsid w:val="139E0A23"/>
    <w:rsid w:val="13B52CE6"/>
    <w:rsid w:val="13CA3997"/>
    <w:rsid w:val="151E2A32"/>
    <w:rsid w:val="153331D7"/>
    <w:rsid w:val="176C1B98"/>
    <w:rsid w:val="176F7144"/>
    <w:rsid w:val="177F0B12"/>
    <w:rsid w:val="1A284F71"/>
    <w:rsid w:val="1FB87CE3"/>
    <w:rsid w:val="24291081"/>
    <w:rsid w:val="25375774"/>
    <w:rsid w:val="267239D8"/>
    <w:rsid w:val="278C3C87"/>
    <w:rsid w:val="297A605E"/>
    <w:rsid w:val="2C3E604E"/>
    <w:rsid w:val="2E860F0F"/>
    <w:rsid w:val="2F77D17D"/>
    <w:rsid w:val="3655517F"/>
    <w:rsid w:val="38A6168F"/>
    <w:rsid w:val="40261E0A"/>
    <w:rsid w:val="408E6698"/>
    <w:rsid w:val="43F23EB8"/>
    <w:rsid w:val="448718D0"/>
    <w:rsid w:val="448A1E62"/>
    <w:rsid w:val="44E62218"/>
    <w:rsid w:val="4A4B392E"/>
    <w:rsid w:val="4AB05436"/>
    <w:rsid w:val="4DD00608"/>
    <w:rsid w:val="4EDA34E0"/>
    <w:rsid w:val="4EE249BD"/>
    <w:rsid w:val="50FC4663"/>
    <w:rsid w:val="535479ED"/>
    <w:rsid w:val="56561A5A"/>
    <w:rsid w:val="57A73938"/>
    <w:rsid w:val="590840B6"/>
    <w:rsid w:val="5DB03057"/>
    <w:rsid w:val="5FD823D6"/>
    <w:rsid w:val="665A6D13"/>
    <w:rsid w:val="723F293E"/>
    <w:rsid w:val="76B624AC"/>
    <w:rsid w:val="7B5330B7"/>
    <w:rsid w:val="7D032930"/>
    <w:rsid w:val="7FCB9D69"/>
    <w:rsid w:val="7FDF3217"/>
    <w:rsid w:val="DCBF3BA4"/>
    <w:rsid w:val="FB83DF04"/>
    <w:rsid w:val="FF3F89BB"/>
    <w:rsid w:val="FF8F9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adjustRightInd w:val="0"/>
      <w:snapToGrid w:val="0"/>
      <w:spacing w:line="360" w:lineRule="auto"/>
      <w:jc w:val="center"/>
      <w:outlineLvl w:val="0"/>
    </w:pPr>
    <w:rPr>
      <w:b/>
      <w:kern w:val="44"/>
      <w:sz w:val="36"/>
    </w:rPr>
  </w:style>
  <w:style w:type="paragraph" w:styleId="5">
    <w:name w:val="heading 2"/>
    <w:basedOn w:val="1"/>
    <w:next w:val="6"/>
    <w:qFormat/>
    <w:uiPriority w:val="0"/>
    <w:pPr>
      <w:keepNext/>
      <w:keepLines/>
      <w:numPr>
        <w:ilvl w:val="0"/>
        <w:numId w:val="1"/>
      </w:numPr>
      <w:adjustRightInd w:val="0"/>
      <w:snapToGrid w:val="0"/>
      <w:spacing w:line="360" w:lineRule="auto"/>
      <w:ind w:firstLine="0"/>
      <w:outlineLvl w:val="1"/>
    </w:pPr>
    <w:rPr>
      <w:rFonts w:ascii="Arial" w:hAnsi="Arial" w:eastAsia="黑体"/>
      <w:sz w:val="32"/>
    </w:rPr>
  </w:style>
  <w:style w:type="paragraph" w:styleId="7">
    <w:name w:val="heading 3"/>
    <w:basedOn w:val="1"/>
    <w:next w:val="6"/>
    <w:qFormat/>
    <w:uiPriority w:val="0"/>
    <w:pPr>
      <w:keepNext/>
      <w:keepLines/>
      <w:numPr>
        <w:ilvl w:val="0"/>
        <w:numId w:val="2"/>
      </w:numPr>
      <w:adjustRightInd w:val="0"/>
      <w:snapToGrid w:val="0"/>
      <w:spacing w:line="360" w:lineRule="auto"/>
      <w:outlineLvl w:val="2"/>
    </w:pPr>
    <w:rPr>
      <w:sz w:val="28"/>
    </w:rPr>
  </w:style>
  <w:style w:type="character" w:default="1" w:styleId="28">
    <w:name w:val="Default Paragraph Font"/>
    <w:semiHidden/>
    <w:unhideWhenUsed/>
    <w:qFormat/>
    <w:uiPriority w:val="1"/>
  </w:style>
  <w:style w:type="table" w:default="1" w:styleId="35">
    <w:name w:val="Normal Table"/>
    <w:semiHidden/>
    <w:unhideWhenUsed/>
    <w:qFormat/>
    <w:uiPriority w:val="99"/>
    <w:tblPr>
      <w:tblLayout w:type="fixed"/>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qFormat/>
    <w:uiPriority w:val="0"/>
  </w:style>
  <w:style w:type="paragraph" w:styleId="6">
    <w:name w:val="Normal Indent"/>
    <w:basedOn w:val="1"/>
    <w:qFormat/>
    <w:uiPriority w:val="0"/>
    <w:pPr>
      <w:ind w:firstLine="200" w:firstLineChars="200"/>
    </w:pPr>
  </w:style>
  <w:style w:type="paragraph" w:styleId="8">
    <w:name w:val="index 5"/>
    <w:basedOn w:val="1"/>
    <w:next w:val="1"/>
    <w:qFormat/>
    <w:uiPriority w:val="0"/>
    <w:pPr>
      <w:ind w:left="800" w:leftChars="800"/>
    </w:pPr>
  </w:style>
  <w:style w:type="paragraph" w:styleId="9">
    <w:name w:val="Document Map"/>
    <w:basedOn w:val="1"/>
    <w:qFormat/>
    <w:uiPriority w:val="0"/>
    <w:pPr>
      <w:shd w:val="clear" w:color="auto" w:fill="000080"/>
    </w:pPr>
    <w:rPr>
      <w:rFonts w:ascii="Calibri" w:hAnsi="Calibri"/>
      <w:szCs w:val="22"/>
    </w:rPr>
  </w:style>
  <w:style w:type="paragraph" w:styleId="10">
    <w:name w:val="annotation text"/>
    <w:basedOn w:val="1"/>
    <w:qFormat/>
    <w:uiPriority w:val="0"/>
    <w:pPr>
      <w:jc w:val="left"/>
    </w:pPr>
  </w:style>
  <w:style w:type="paragraph" w:styleId="11">
    <w:name w:val="Body Text 3"/>
    <w:basedOn w:val="1"/>
    <w:qFormat/>
    <w:uiPriority w:val="0"/>
    <w:pPr>
      <w:spacing w:line="600" w:lineRule="exact"/>
    </w:pPr>
    <w:rPr>
      <w:rFonts w:ascii="仿宋_GB2312" w:eastAsia="仿宋_GB2312"/>
      <w:color w:val="FFFFFF"/>
      <w:sz w:val="32"/>
    </w:rPr>
  </w:style>
  <w:style w:type="paragraph" w:styleId="12">
    <w:name w:val="Closing"/>
    <w:basedOn w:val="1"/>
    <w:qFormat/>
    <w:uiPriority w:val="0"/>
    <w:pPr>
      <w:ind w:left="4320"/>
    </w:pPr>
    <w:rPr>
      <w:rFonts w:ascii="仿宋_GB2312" w:eastAsia="仿宋_GB2312" w:cs="宋体"/>
      <w:sz w:val="32"/>
      <w:szCs w:val="28"/>
    </w:rPr>
  </w:style>
  <w:style w:type="paragraph" w:styleId="13">
    <w:name w:val="Body Text"/>
    <w:basedOn w:val="1"/>
    <w:qFormat/>
    <w:uiPriority w:val="0"/>
    <w:pPr>
      <w:widowControl/>
      <w:jc w:val="center"/>
    </w:pPr>
    <w:rPr>
      <w:rFonts w:eastAsia="黑体"/>
      <w:kern w:val="0"/>
      <w:sz w:val="36"/>
    </w:rPr>
  </w:style>
  <w:style w:type="paragraph" w:styleId="14">
    <w:name w:val="Body Text Indent"/>
    <w:basedOn w:val="1"/>
    <w:qFormat/>
    <w:uiPriority w:val="0"/>
    <w:pPr>
      <w:widowControl/>
      <w:spacing w:line="360" w:lineRule="auto"/>
      <w:ind w:firstLine="629"/>
    </w:pPr>
    <w:rPr>
      <w:kern w:val="0"/>
      <w:sz w:val="30"/>
    </w:rPr>
  </w:style>
  <w:style w:type="paragraph" w:styleId="15">
    <w:name w:val="toc 3"/>
    <w:basedOn w:val="1"/>
    <w:next w:val="1"/>
    <w:qFormat/>
    <w:uiPriority w:val="0"/>
    <w:pPr>
      <w:ind w:left="400" w:leftChars="400"/>
    </w:pPr>
  </w:style>
  <w:style w:type="paragraph" w:styleId="16">
    <w:name w:val="Date"/>
    <w:basedOn w:val="1"/>
    <w:next w:val="1"/>
    <w:qFormat/>
    <w:uiPriority w:val="0"/>
    <w:rPr>
      <w:kern w:val="0"/>
      <w:sz w:val="30"/>
    </w:rPr>
  </w:style>
  <w:style w:type="paragraph" w:styleId="17">
    <w:name w:val="Body Text Indent 2"/>
    <w:basedOn w:val="1"/>
    <w:qFormat/>
    <w:uiPriority w:val="0"/>
    <w:pPr>
      <w:spacing w:line="560" w:lineRule="exact"/>
      <w:ind w:firstLine="630"/>
    </w:pPr>
    <w:rPr>
      <w:rFonts w:ascii="仿宋_GB2312" w:eastAsia="仿宋_GB2312"/>
      <w:sz w:val="32"/>
    </w:r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pPr>
      <w:tabs>
        <w:tab w:val="right" w:leader="dot" w:pos="8296"/>
      </w:tabs>
      <w:spacing w:line="600" w:lineRule="exact"/>
      <w:jc w:val="center"/>
    </w:pPr>
    <w:rPr>
      <w:rFonts w:ascii="黑体" w:eastAsia="黑体"/>
      <w:bCs/>
      <w:kern w:val="44"/>
      <w:sz w:val="36"/>
      <w:szCs w:val="36"/>
    </w:rPr>
  </w:style>
  <w:style w:type="paragraph" w:styleId="22">
    <w:name w:val="footnote text"/>
    <w:basedOn w:val="1"/>
    <w:qFormat/>
    <w:uiPriority w:val="0"/>
    <w:pPr>
      <w:snapToGrid w:val="0"/>
      <w:jc w:val="left"/>
    </w:pPr>
    <w:rPr>
      <w:rFonts w:ascii="Calibri" w:hAnsi="Calibri"/>
      <w:sz w:val="18"/>
      <w:szCs w:val="18"/>
    </w:rPr>
  </w:style>
  <w:style w:type="paragraph" w:styleId="23">
    <w:name w:val="Body Text Indent 3"/>
    <w:basedOn w:val="1"/>
    <w:qFormat/>
    <w:uiPriority w:val="0"/>
    <w:pPr>
      <w:spacing w:line="600" w:lineRule="exact"/>
      <w:ind w:firstLine="525"/>
    </w:pPr>
    <w:rPr>
      <w:rFonts w:ascii="仿宋_GB2312" w:eastAsia="仿宋_GB2312"/>
      <w:sz w:val="32"/>
    </w:rPr>
  </w:style>
  <w:style w:type="paragraph" w:styleId="24">
    <w:name w:val="toc 2"/>
    <w:basedOn w:val="1"/>
    <w:next w:val="1"/>
    <w:qFormat/>
    <w:uiPriority w:val="0"/>
    <w:pPr>
      <w:ind w:left="200" w:leftChars="200"/>
    </w:pPr>
    <w:rPr>
      <w:rFonts w:ascii="Calibri" w:hAnsi="Calibri"/>
      <w:szCs w:val="22"/>
    </w:rPr>
  </w:style>
  <w:style w:type="paragraph" w:styleId="25">
    <w:name w:val="Body Text 2"/>
    <w:basedOn w:val="1"/>
    <w:qFormat/>
    <w:uiPriority w:val="0"/>
    <w:rPr>
      <w:sz w:val="32"/>
    </w:rPr>
  </w:style>
  <w:style w:type="paragraph" w:styleId="26">
    <w:name w:val="Normal (Web)"/>
    <w:basedOn w:val="1"/>
    <w:qFormat/>
    <w:uiPriority w:val="0"/>
    <w:pPr>
      <w:widowControl/>
      <w:spacing w:before="100" w:beforeAutospacing="1"/>
    </w:pPr>
    <w:rPr>
      <w:rFonts w:ascii="宋体" w:cs="宋体"/>
      <w:kern w:val="0"/>
      <w:sz w:val="24"/>
      <w:szCs w:val="24"/>
    </w:rPr>
  </w:style>
  <w:style w:type="paragraph" w:styleId="27">
    <w:name w:val="Title"/>
    <w:basedOn w:val="1"/>
    <w:next w:val="1"/>
    <w:qFormat/>
    <w:uiPriority w:val="0"/>
    <w:pPr>
      <w:spacing w:before="240" w:after="60"/>
      <w:jc w:val="center"/>
      <w:outlineLvl w:val="0"/>
    </w:pPr>
    <w:rPr>
      <w:rFonts w:ascii="Cambria" w:hAnsi="Cambria"/>
      <w:b/>
      <w:bCs/>
      <w:sz w:val="32"/>
      <w:szCs w:val="32"/>
    </w:r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800080"/>
      <w:u w:val="single"/>
    </w:rPr>
  </w:style>
  <w:style w:type="character" w:styleId="32">
    <w:name w:val="Emphasis"/>
    <w:qFormat/>
    <w:uiPriority w:val="0"/>
  </w:style>
  <w:style w:type="character" w:styleId="33">
    <w:name w:val="Hyperlink"/>
    <w:basedOn w:val="28"/>
    <w:qFormat/>
    <w:uiPriority w:val="0"/>
    <w:rPr>
      <w:color w:val="261CDC"/>
      <w:u w:val="single"/>
    </w:rPr>
  </w:style>
  <w:style w:type="character" w:styleId="34">
    <w:name w:val="footnote reference"/>
    <w:basedOn w:val="28"/>
    <w:qFormat/>
    <w:uiPriority w:val="0"/>
    <w:rPr>
      <w:vertAlign w:val="superscript"/>
    </w:rPr>
  </w:style>
  <w:style w:type="paragraph" w:customStyle="1" w:styleId="36">
    <w:name w:val="页眉中文"/>
    <w:basedOn w:val="20"/>
    <w:qFormat/>
    <w:uiPriority w:val="0"/>
    <w:pPr>
      <w:pBdr>
        <w:bottom w:val="none" w:color="auto" w:sz="0" w:space="0"/>
      </w:pBdr>
      <w:tabs>
        <w:tab w:val="clear" w:pos="4153"/>
        <w:tab w:val="clear" w:pos="8306"/>
      </w:tabs>
      <w:adjustRightInd w:val="0"/>
      <w:spacing w:line="600" w:lineRule="exact"/>
      <w:ind w:firstLine="200" w:firstLineChars="200"/>
      <w:jc w:val="both"/>
    </w:pPr>
    <w:rPr>
      <w:rFonts w:ascii="仿宋_GB2312" w:eastAsia="仿宋_GB2312"/>
      <w:spacing w:val="-4"/>
      <w:sz w:val="32"/>
      <w:szCs w:val="32"/>
    </w:rPr>
  </w:style>
  <w:style w:type="paragraph" w:customStyle="1" w:styleId="37">
    <w:name w:val="font5"/>
    <w:basedOn w:val="1"/>
    <w:qFormat/>
    <w:uiPriority w:val="0"/>
    <w:pPr>
      <w:widowControl/>
      <w:spacing w:before="100" w:beforeAutospacing="1" w:after="100" w:afterAutospacing="1"/>
      <w:jc w:val="left"/>
    </w:pPr>
    <w:rPr>
      <w:rFonts w:ascii="宋体"/>
      <w:kern w:val="0"/>
      <w:sz w:val="18"/>
      <w:szCs w:val="18"/>
    </w:rPr>
  </w:style>
  <w:style w:type="paragraph" w:customStyle="1" w:styleId="38">
    <w:name w:val="font6"/>
    <w:basedOn w:val="1"/>
    <w:qFormat/>
    <w:uiPriority w:val="0"/>
    <w:pPr>
      <w:widowControl/>
      <w:spacing w:before="100" w:beforeAutospacing="1" w:after="100" w:afterAutospacing="1"/>
      <w:jc w:val="left"/>
    </w:pPr>
    <w:rPr>
      <w:rFonts w:ascii="宋体"/>
      <w:kern w:val="0"/>
      <w:sz w:val="20"/>
    </w:rPr>
  </w:style>
  <w:style w:type="paragraph" w:customStyle="1" w:styleId="39">
    <w:name w:val="font7"/>
    <w:basedOn w:val="1"/>
    <w:qFormat/>
    <w:uiPriority w:val="0"/>
    <w:pPr>
      <w:widowControl/>
      <w:spacing w:before="100" w:beforeAutospacing="1" w:after="100" w:afterAutospacing="1"/>
      <w:jc w:val="left"/>
    </w:pPr>
    <w:rPr>
      <w:kern w:val="0"/>
      <w:sz w:val="20"/>
    </w:rPr>
  </w:style>
  <w:style w:type="paragraph" w:customStyle="1" w:styleId="40">
    <w:name w:val="font8"/>
    <w:basedOn w:val="1"/>
    <w:qFormat/>
    <w:uiPriority w:val="0"/>
    <w:pPr>
      <w:widowControl/>
      <w:spacing w:before="100" w:beforeAutospacing="1" w:after="100" w:afterAutospacing="1"/>
      <w:jc w:val="left"/>
    </w:pPr>
    <w:rPr>
      <w:rFonts w:ascii="宋体"/>
      <w:b/>
      <w:bCs/>
      <w:color w:val="000000"/>
      <w:kern w:val="0"/>
      <w:sz w:val="32"/>
      <w:szCs w:val="32"/>
    </w:rPr>
  </w:style>
  <w:style w:type="paragraph" w:customStyle="1" w:styleId="41">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rPr>
  </w:style>
  <w:style w:type="paragraph" w:customStyle="1" w:styleId="42">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4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sz w:val="20"/>
    </w:rPr>
  </w:style>
  <w:style w:type="paragraph" w:customStyle="1" w:styleId="44">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rFonts w:ascii="宋体"/>
      <w:kern w:val="0"/>
      <w:sz w:val="20"/>
    </w:rPr>
  </w:style>
  <w:style w:type="paragraph" w:customStyle="1" w:styleId="45">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textAlignment w:val="center"/>
    </w:pPr>
    <w:rPr>
      <w:kern w:val="0"/>
      <w:sz w:val="20"/>
    </w:rPr>
  </w:style>
  <w:style w:type="paragraph" w:customStyle="1" w:styleId="4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kern w:val="0"/>
      <w:sz w:val="20"/>
    </w:rPr>
  </w:style>
  <w:style w:type="paragraph" w:customStyle="1" w:styleId="47">
    <w:name w:val="xl28"/>
    <w:basedOn w:val="1"/>
    <w:qFormat/>
    <w:uiPriority w:val="0"/>
    <w:pPr>
      <w:widowControl/>
      <w:pBdr>
        <w:top w:val="single" w:color="auto" w:sz="4" w:space="0"/>
        <w:bottom w:val="single" w:color="auto" w:sz="4" w:space="0"/>
      </w:pBdr>
      <w:shd w:val="clear" w:color="auto" w:fill="C0C0C0"/>
      <w:spacing w:before="100" w:beforeAutospacing="1" w:after="100" w:afterAutospacing="1"/>
      <w:jc w:val="center"/>
    </w:pPr>
    <w:rPr>
      <w:rFonts w:ascii="宋体"/>
      <w:kern w:val="0"/>
      <w:sz w:val="20"/>
    </w:rPr>
  </w:style>
  <w:style w:type="paragraph" w:customStyle="1" w:styleId="48">
    <w:name w:val="xl29"/>
    <w:basedOn w:val="1"/>
    <w:qFormat/>
    <w:uiPriority w:val="0"/>
    <w:pPr>
      <w:widowControl/>
      <w:pBdr>
        <w:top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kern w:val="0"/>
      <w:sz w:val="20"/>
    </w:rPr>
  </w:style>
  <w:style w:type="paragraph" w:customStyle="1" w:styleId="49">
    <w:name w:val="xl30"/>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kern w:val="0"/>
      <w:sz w:val="20"/>
    </w:rPr>
  </w:style>
  <w:style w:type="paragraph" w:customStyle="1" w:styleId="50">
    <w:name w:val="xl31"/>
    <w:basedOn w:val="1"/>
    <w:qFormat/>
    <w:uiPriority w:val="0"/>
    <w:pPr>
      <w:widowControl/>
      <w:pBdr>
        <w:top w:val="single" w:color="auto" w:sz="4" w:space="0"/>
        <w:left w:val="single" w:color="auto" w:sz="4" w:space="0"/>
        <w:bottom w:val="single" w:color="auto" w:sz="4" w:space="0"/>
      </w:pBdr>
      <w:shd w:val="clear" w:color="auto" w:fill="C0C0C0"/>
      <w:spacing w:before="100" w:beforeAutospacing="1" w:after="100" w:afterAutospacing="1"/>
      <w:jc w:val="center"/>
    </w:pPr>
    <w:rPr>
      <w:rFonts w:ascii="宋体"/>
      <w:kern w:val="0"/>
      <w:sz w:val="20"/>
    </w:rPr>
  </w:style>
  <w:style w:type="paragraph" w:customStyle="1" w:styleId="5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kern w:val="0"/>
      <w:sz w:val="20"/>
    </w:rPr>
  </w:style>
  <w:style w:type="paragraph" w:customStyle="1" w:styleId="5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969696"/>
      <w:spacing w:before="100" w:beforeAutospacing="1" w:after="100" w:afterAutospacing="1"/>
      <w:jc w:val="center"/>
    </w:pPr>
    <w:rPr>
      <w:rFonts w:ascii="宋体"/>
      <w:kern w:val="0"/>
      <w:sz w:val="20"/>
    </w:rPr>
  </w:style>
  <w:style w:type="paragraph" w:customStyle="1" w:styleId="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b/>
      <w:bCs/>
      <w:color w:val="FF0000"/>
      <w:kern w:val="0"/>
      <w:sz w:val="20"/>
    </w:rPr>
  </w:style>
  <w:style w:type="paragraph" w:customStyle="1" w:styleId="5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center"/>
    </w:pPr>
    <w:rPr>
      <w:rFonts w:ascii="宋体"/>
      <w:b/>
      <w:bCs/>
      <w:kern w:val="0"/>
      <w:sz w:val="20"/>
    </w:rPr>
  </w:style>
  <w:style w:type="paragraph" w:customStyle="1" w:styleId="55">
    <w:name w:val="xl36"/>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宋体"/>
      <w:kern w:val="0"/>
      <w:sz w:val="20"/>
    </w:rPr>
  </w:style>
  <w:style w:type="paragraph" w:customStyle="1" w:styleId="56">
    <w:name w:val="xl37"/>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rFonts w:ascii="宋体"/>
      <w:kern w:val="0"/>
      <w:sz w:val="20"/>
    </w:rPr>
  </w:style>
  <w:style w:type="paragraph" w:customStyle="1" w:styleId="57">
    <w:name w:val="xl38"/>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rFonts w:ascii="宋体"/>
      <w:kern w:val="0"/>
      <w:sz w:val="20"/>
    </w:rPr>
  </w:style>
  <w:style w:type="paragraph" w:customStyle="1" w:styleId="58">
    <w:name w:val="xl39"/>
    <w:basedOn w:val="1"/>
    <w:qFormat/>
    <w:uiPriority w:val="0"/>
    <w:pPr>
      <w:widowControl/>
      <w:spacing w:before="100" w:beforeAutospacing="1" w:after="100" w:afterAutospacing="1"/>
      <w:jc w:val="center"/>
    </w:pPr>
    <w:rPr>
      <w:b/>
      <w:bCs/>
      <w:color w:val="000000"/>
      <w:kern w:val="0"/>
      <w:sz w:val="32"/>
      <w:szCs w:val="32"/>
    </w:rPr>
  </w:style>
  <w:style w:type="paragraph" w:customStyle="1" w:styleId="59">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b/>
      <w:bCs/>
      <w:kern w:val="0"/>
      <w:sz w:val="20"/>
    </w:rPr>
  </w:style>
  <w:style w:type="paragraph" w:customStyle="1" w:styleId="60">
    <w:name w:val="xl4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b/>
      <w:bCs/>
      <w:kern w:val="0"/>
      <w:sz w:val="20"/>
    </w:rPr>
  </w:style>
  <w:style w:type="paragraph" w:customStyle="1" w:styleId="6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sz w:val="20"/>
    </w:rPr>
  </w:style>
  <w:style w:type="paragraph" w:customStyle="1" w:styleId="6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b/>
      <w:bCs/>
      <w:kern w:val="0"/>
      <w:sz w:val="20"/>
    </w:rPr>
  </w:style>
  <w:style w:type="paragraph" w:customStyle="1" w:styleId="63">
    <w:name w:val="xl4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b/>
      <w:bCs/>
      <w:kern w:val="0"/>
      <w:sz w:val="20"/>
    </w:rPr>
  </w:style>
  <w:style w:type="paragraph" w:customStyle="1" w:styleId="64">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b/>
      <w:bCs/>
      <w:kern w:val="0"/>
      <w:sz w:val="20"/>
    </w:rPr>
  </w:style>
  <w:style w:type="character" w:customStyle="1" w:styleId="65">
    <w:name w:val="自定样式5"/>
    <w:qFormat/>
    <w:uiPriority w:val="0"/>
    <w:rPr>
      <w:rFonts w:ascii="仿宋_GB2312" w:eastAsia="仿宋_GB2312" w:cs="Times New Roman"/>
      <w:snapToGrid/>
      <w:color w:val="auto"/>
      <w:kern w:val="2"/>
      <w:sz w:val="30"/>
      <w:szCs w:val="30"/>
      <w:lang w:val="en-US" w:eastAsia="zh-CN"/>
    </w:rPr>
  </w:style>
  <w:style w:type="character" w:customStyle="1" w:styleId="66">
    <w:name w:val="自定样式7"/>
    <w:qFormat/>
    <w:uiPriority w:val="0"/>
    <w:rPr>
      <w:rFonts w:ascii="仿宋_GB2312" w:eastAsia="仿宋_GB2312" w:cs="Times New Roman"/>
      <w:snapToGrid/>
      <w:color w:val="auto"/>
      <w:kern w:val="2"/>
      <w:sz w:val="30"/>
      <w:szCs w:val="30"/>
      <w:lang w:val="en-US" w:eastAsia="zh-CN"/>
    </w:rPr>
  </w:style>
  <w:style w:type="character" w:customStyle="1" w:styleId="67">
    <w:name w:val="自定样式8"/>
    <w:qFormat/>
    <w:uiPriority w:val="0"/>
    <w:rPr>
      <w:rFonts w:ascii="仿宋_GB2312" w:eastAsia="仿宋_GB2312" w:cs="Times New Roman"/>
      <w:snapToGrid/>
      <w:color w:val="auto"/>
      <w:kern w:val="2"/>
      <w:sz w:val="30"/>
      <w:szCs w:val="30"/>
      <w:lang w:val="en-US" w:eastAsia="zh-CN"/>
    </w:rPr>
  </w:style>
  <w:style w:type="character" w:customStyle="1" w:styleId="68">
    <w:name w:val="自定样式9"/>
    <w:qFormat/>
    <w:uiPriority w:val="0"/>
    <w:rPr>
      <w:rFonts w:ascii="仿宋_GB2312" w:eastAsia="仿宋_GB2312" w:cs="Times New Roman"/>
      <w:snapToGrid/>
      <w:color w:val="auto"/>
      <w:kern w:val="2"/>
      <w:sz w:val="30"/>
      <w:szCs w:val="30"/>
      <w:lang w:val="en-US" w:eastAsia="zh-CN"/>
    </w:rPr>
  </w:style>
  <w:style w:type="character" w:customStyle="1" w:styleId="69">
    <w:name w:val="自定样式10"/>
    <w:qFormat/>
    <w:uiPriority w:val="0"/>
    <w:rPr>
      <w:rFonts w:ascii="仿宋_GB2312" w:eastAsia="仿宋_GB2312" w:cs="Times New Roman"/>
      <w:snapToGrid/>
      <w:color w:val="auto"/>
      <w:kern w:val="2"/>
      <w:sz w:val="30"/>
      <w:szCs w:val="30"/>
      <w:lang w:val="en-US" w:eastAsia="zh-CN"/>
    </w:rPr>
  </w:style>
  <w:style w:type="character" w:customStyle="1" w:styleId="70">
    <w:name w:val="自定样式11"/>
    <w:qFormat/>
    <w:uiPriority w:val="0"/>
    <w:rPr>
      <w:rFonts w:ascii="仿宋_GB2312" w:eastAsia="仿宋_GB2312" w:cs="Times New Roman"/>
      <w:snapToGrid/>
      <w:color w:val="auto"/>
      <w:kern w:val="2"/>
      <w:sz w:val="30"/>
      <w:szCs w:val="30"/>
      <w:lang w:val="en-US" w:eastAsia="zh-CN"/>
    </w:rPr>
  </w:style>
  <w:style w:type="character" w:customStyle="1" w:styleId="71">
    <w:name w:val="自定样式12"/>
    <w:qFormat/>
    <w:uiPriority w:val="0"/>
    <w:rPr>
      <w:rFonts w:ascii="仿宋_GB2312" w:eastAsia="仿宋_GB2312" w:cs="Times New Roman"/>
      <w:snapToGrid/>
      <w:color w:val="auto"/>
      <w:kern w:val="2"/>
      <w:sz w:val="30"/>
      <w:szCs w:val="30"/>
      <w:lang w:val="en-US" w:eastAsia="zh-CN"/>
    </w:rPr>
  </w:style>
  <w:style w:type="character" w:customStyle="1" w:styleId="72">
    <w:name w:val="自定样式13"/>
    <w:qFormat/>
    <w:uiPriority w:val="0"/>
    <w:rPr>
      <w:rFonts w:ascii="Times New Roman" w:hAnsi="Times New Roman" w:eastAsia="仿宋_GB2312" w:cs="Times New Roman"/>
      <w:snapToGrid/>
      <w:color w:val="auto"/>
      <w:kern w:val="2"/>
      <w:sz w:val="30"/>
      <w:szCs w:val="30"/>
      <w:lang w:val="en-US" w:eastAsia="zh-CN"/>
    </w:rPr>
  </w:style>
  <w:style w:type="character" w:customStyle="1" w:styleId="73">
    <w:name w:val="自定样式14"/>
    <w:qFormat/>
    <w:uiPriority w:val="0"/>
    <w:rPr>
      <w:rFonts w:ascii="Times New Roman" w:hAnsi="Times New Roman" w:eastAsia="仿宋_GB2312" w:cs="Times New Roman"/>
      <w:snapToGrid/>
      <w:color w:val="auto"/>
      <w:kern w:val="2"/>
      <w:sz w:val="30"/>
      <w:szCs w:val="30"/>
      <w:lang w:val="en-US" w:eastAsia="zh-CN"/>
    </w:rPr>
  </w:style>
  <w:style w:type="character" w:customStyle="1" w:styleId="74">
    <w:name w:val="自定样式16"/>
    <w:qFormat/>
    <w:uiPriority w:val="0"/>
    <w:rPr>
      <w:rFonts w:ascii="仿宋_GB2312" w:eastAsia="仿宋_GB2312" w:cs="Times New Roman"/>
      <w:b/>
      <w:bCs/>
      <w:snapToGrid/>
      <w:color w:val="auto"/>
      <w:kern w:val="2"/>
      <w:sz w:val="30"/>
      <w:szCs w:val="30"/>
      <w:lang w:val="en-US" w:eastAsia="zh-CN"/>
    </w:rPr>
  </w:style>
  <w:style w:type="character" w:customStyle="1" w:styleId="75">
    <w:name w:val="自定样式18"/>
    <w:qFormat/>
    <w:uiPriority w:val="0"/>
    <w:rPr>
      <w:rFonts w:cs="Times New Roman"/>
      <w:snapToGrid/>
      <w:color w:val="auto"/>
      <w:kern w:val="2"/>
      <w:lang w:val="en-US" w:eastAsia="zh-CN"/>
    </w:rPr>
  </w:style>
  <w:style w:type="character" w:customStyle="1" w:styleId="76">
    <w:name w:val="自定样式19"/>
    <w:basedOn w:val="75"/>
    <w:qFormat/>
    <w:uiPriority w:val="0"/>
    <w:rPr>
      <w:rFonts w:ascii="仿宋_GB2312" w:eastAsia="仿宋_GB2312" w:cs="Times New Roman"/>
      <w:snapToGrid/>
      <w:color w:val="auto"/>
      <w:kern w:val="2"/>
      <w:sz w:val="30"/>
      <w:szCs w:val="30"/>
      <w:lang w:val="en-US" w:eastAsia="zh-CN"/>
    </w:rPr>
  </w:style>
  <w:style w:type="character" w:customStyle="1" w:styleId="77">
    <w:name w:val="自定样式20"/>
    <w:basedOn w:val="75"/>
    <w:qFormat/>
    <w:uiPriority w:val="0"/>
    <w:rPr>
      <w:rFonts w:ascii="仿宋_GB2312" w:eastAsia="仿宋_GB2312" w:cs="Times New Roman"/>
      <w:snapToGrid/>
      <w:color w:val="auto"/>
      <w:kern w:val="2"/>
      <w:sz w:val="30"/>
      <w:szCs w:val="30"/>
      <w:lang w:val="en-US" w:eastAsia="zh-CN"/>
    </w:rPr>
  </w:style>
  <w:style w:type="paragraph" w:customStyle="1" w:styleId="78">
    <w:name w:val="WW-正文文字缩进 2"/>
    <w:basedOn w:val="1"/>
    <w:qFormat/>
    <w:uiPriority w:val="0"/>
    <w:pPr>
      <w:suppressAutoHyphens/>
      <w:spacing w:line="560" w:lineRule="exact"/>
      <w:ind w:firstLine="630"/>
    </w:pPr>
    <w:rPr>
      <w:rFonts w:ascii="仿宋_GB2312" w:eastAsia="仿宋_GB2312"/>
      <w:sz w:val="32"/>
    </w:rPr>
  </w:style>
  <w:style w:type="paragraph" w:customStyle="1" w:styleId="79">
    <w:name w:val="自定样式1"/>
    <w:basedOn w:val="1"/>
    <w:qFormat/>
    <w:uiPriority w:val="0"/>
    <w:pPr>
      <w:suppressAutoHyphens/>
      <w:spacing w:line="500" w:lineRule="exact"/>
    </w:pPr>
  </w:style>
  <w:style w:type="paragraph" w:customStyle="1" w:styleId="80">
    <w:name w:val="自定样式2"/>
    <w:basedOn w:val="1"/>
    <w:qFormat/>
    <w:uiPriority w:val="0"/>
    <w:pPr>
      <w:suppressAutoHyphens/>
      <w:spacing w:line="500" w:lineRule="exact"/>
      <w:ind w:firstLine="487"/>
    </w:pPr>
  </w:style>
  <w:style w:type="paragraph" w:customStyle="1" w:styleId="81">
    <w:name w:val="WW-普通(网站)"/>
    <w:basedOn w:val="1"/>
    <w:qFormat/>
    <w:uiPriority w:val="0"/>
    <w:pPr>
      <w:widowControl/>
      <w:suppressAutoHyphens/>
      <w:spacing w:before="280" w:after="280"/>
      <w:jc w:val="left"/>
    </w:pPr>
    <w:rPr>
      <w:rFonts w:ascii="宋体" w:cs="宋体"/>
      <w:kern w:val="0"/>
      <w:sz w:val="24"/>
      <w:szCs w:val="24"/>
    </w:rPr>
  </w:style>
  <w:style w:type="paragraph" w:customStyle="1" w:styleId="82">
    <w:name w:val="WW-文字块"/>
    <w:basedOn w:val="1"/>
    <w:qFormat/>
    <w:uiPriority w:val="0"/>
    <w:pPr>
      <w:suppressAutoHyphens/>
      <w:ind w:left="113" w:right="113" w:firstLine="480"/>
    </w:pPr>
    <w:rPr>
      <w:rFonts w:eastAsia="仿宋_GB2312"/>
      <w:bCs/>
      <w:sz w:val="24"/>
      <w:szCs w:val="24"/>
    </w:rPr>
  </w:style>
  <w:style w:type="character" w:customStyle="1" w:styleId="83">
    <w:name w:val="×Ô¶¨ÑùÊ½11"/>
    <w:basedOn w:val="28"/>
    <w:qFormat/>
    <w:uiPriority w:val="0"/>
    <w:rPr>
      <w:rFonts w:ascii="宋体" w:eastAsia="宋体"/>
      <w:sz w:val="28"/>
      <w:szCs w:val="28"/>
    </w:rPr>
  </w:style>
  <w:style w:type="paragraph" w:customStyle="1" w:styleId="84">
    <w:name w:val="WW-正文文本缩进 3"/>
    <w:basedOn w:val="1"/>
    <w:qFormat/>
    <w:uiPriority w:val="0"/>
    <w:pPr>
      <w:suppressAutoHyphens/>
      <w:spacing w:line="500" w:lineRule="exact"/>
      <w:ind w:firstLine="425"/>
    </w:pPr>
    <w:rPr>
      <w:sz w:val="30"/>
    </w:rPr>
  </w:style>
  <w:style w:type="paragraph" w:customStyle="1" w:styleId="85">
    <w:name w:val="cjk"/>
    <w:basedOn w:val="1"/>
    <w:qFormat/>
    <w:uiPriority w:val="0"/>
    <w:pPr>
      <w:widowControl/>
      <w:spacing w:before="100" w:beforeAutospacing="1" w:line="360" w:lineRule="auto"/>
      <w:jc w:val="center"/>
    </w:pPr>
    <w:rPr>
      <w:rFonts w:ascii="宋体" w:cs="宋体"/>
      <w:b/>
      <w:bCs/>
      <w:kern w:val="0"/>
      <w:sz w:val="44"/>
      <w:szCs w:val="44"/>
    </w:rPr>
  </w:style>
  <w:style w:type="paragraph" w:customStyle="1" w:styleId="86">
    <w:name w:val="正文文字缩进 2"/>
    <w:basedOn w:val="1"/>
    <w:qFormat/>
    <w:uiPriority w:val="0"/>
    <w:pPr>
      <w:suppressAutoHyphens/>
      <w:ind w:firstLine="560"/>
    </w:pPr>
    <w:rPr>
      <w:szCs w:val="28"/>
    </w:rPr>
  </w:style>
  <w:style w:type="paragraph" w:customStyle="1" w:styleId="87">
    <w:name w:val="表格内容"/>
    <w:basedOn w:val="1"/>
    <w:qFormat/>
    <w:uiPriority w:val="0"/>
    <w:pPr>
      <w:suppressLineNumbers/>
      <w:suppressAutoHyphens/>
    </w:pPr>
  </w:style>
  <w:style w:type="character" w:customStyle="1" w:styleId="88">
    <w:name w:val="WW-自定样式16"/>
    <w:qFormat/>
    <w:uiPriority w:val="0"/>
    <w:rPr>
      <w:rFonts w:ascii="仿宋_GB2312" w:eastAsia="仿宋_GB2312" w:cs="Times New Roman"/>
      <w:b/>
      <w:bCs/>
      <w:color w:val="auto"/>
      <w:kern w:val="2"/>
      <w:sz w:val="30"/>
      <w:szCs w:val="30"/>
      <w:lang w:val="en-US" w:eastAsia="zh-CN"/>
    </w:rPr>
  </w:style>
  <w:style w:type="character" w:customStyle="1" w:styleId="89">
    <w:name w:val="WW-自定样式18"/>
    <w:qFormat/>
    <w:uiPriority w:val="0"/>
    <w:rPr>
      <w:rFonts w:cs="Times New Roman"/>
      <w:color w:val="auto"/>
      <w:kern w:val="2"/>
      <w:lang w:val="en-US" w:eastAsia="zh-CN"/>
    </w:rPr>
  </w:style>
  <w:style w:type="paragraph" w:customStyle="1" w:styleId="90">
    <w:name w:val="默认段落字体 Para Char Char Char Char Char Char Char Char Char Char Char Char Char Char"/>
    <w:next w:val="1"/>
    <w:qFormat/>
    <w:uiPriority w:val="0"/>
    <w:pPr>
      <w:keepNext/>
      <w:keepLines/>
      <w:numPr>
        <w:ilvl w:val="7"/>
        <w:numId w:val="3"/>
      </w:numPr>
      <w:spacing w:before="240" w:after="240"/>
      <w:outlineLvl w:val="7"/>
    </w:pPr>
    <w:rPr>
      <w:rFonts w:ascii="Arial" w:hAnsi="Arial" w:eastAsia="黑体" w:cs="Arial"/>
      <w:snapToGrid w:val="0"/>
      <w:sz w:val="21"/>
      <w:szCs w:val="21"/>
      <w:lang w:val="en-US" w:eastAsia="zh-CN" w:bidi="ar-SA"/>
    </w:rPr>
  </w:style>
  <w:style w:type="paragraph" w:customStyle="1" w:styleId="91">
    <w:name w:val="Char"/>
    <w:basedOn w:val="1"/>
    <w:qFormat/>
    <w:uiPriority w:val="0"/>
    <w:rPr>
      <w:rFonts w:ascii="宋体" w:cs="Courier New"/>
      <w:sz w:val="32"/>
      <w:szCs w:val="32"/>
    </w:rPr>
  </w:style>
  <w:style w:type="paragraph" w:customStyle="1" w:styleId="92">
    <w:name w:val="Char Char Char Char Char Char Char Char Char Char Char Char Char Char Char Char Char Char Char Char Char Char"/>
    <w:basedOn w:val="1"/>
    <w:qFormat/>
    <w:uiPriority w:val="0"/>
    <w:rPr>
      <w:rFonts w:ascii="Arial" w:hAnsi="Arial" w:eastAsia="黑体" w:cs="Arial"/>
      <w:snapToGrid w:val="0"/>
      <w:szCs w:val="21"/>
    </w:rPr>
  </w:style>
  <w:style w:type="paragraph" w:customStyle="1" w:styleId="93">
    <w:name w:val="正文1"/>
    <w:basedOn w:val="1"/>
    <w:qFormat/>
    <w:uiPriority w:val="0"/>
    <w:pPr>
      <w:widowControl/>
      <w:suppressAutoHyphens/>
      <w:autoSpaceDE w:val="0"/>
    </w:pPr>
    <w:rPr>
      <w:sz w:val="28"/>
    </w:rPr>
  </w:style>
  <w:style w:type="paragraph" w:customStyle="1" w:styleId="94">
    <w:name w:val="Char Char Char Char"/>
    <w:basedOn w:val="1"/>
    <w:qFormat/>
    <w:uiPriority w:val="0"/>
  </w:style>
  <w:style w:type="paragraph" w:customStyle="1" w:styleId="95">
    <w:name w:val="Char Char1 Char Char Char Char"/>
    <w:basedOn w:val="1"/>
    <w:qFormat/>
    <w:uiPriority w:val="0"/>
    <w:pPr>
      <w:widowControl/>
      <w:spacing w:after="160" w:line="240" w:lineRule="exact"/>
      <w:jc w:val="left"/>
    </w:pPr>
    <w:rPr>
      <w:rFonts w:ascii="Arial" w:hAnsi="Arial" w:eastAsia="Times New Roman" w:cs="Verdana"/>
      <w:b/>
      <w:kern w:val="0"/>
      <w:sz w:val="24"/>
      <w:szCs w:val="24"/>
    </w:rPr>
  </w:style>
  <w:style w:type="paragraph" w:customStyle="1" w:styleId="96">
    <w:name w:val="Char1"/>
    <w:basedOn w:val="1"/>
    <w:qFormat/>
    <w:uiPriority w:val="0"/>
    <w:rPr>
      <w:rFonts w:ascii="宋体" w:cs="Courier New"/>
      <w:sz w:val="32"/>
      <w:szCs w:val="32"/>
    </w:rPr>
  </w:style>
  <w:style w:type="paragraph" w:customStyle="1" w:styleId="97">
    <w:name w:val="Char Char Char Char1"/>
    <w:basedOn w:val="1"/>
    <w:qFormat/>
    <w:uiPriority w:val="0"/>
    <w:rPr>
      <w:rFonts w:ascii="宋体" w:cs="Courier New"/>
      <w:sz w:val="32"/>
      <w:szCs w:val="32"/>
    </w:rPr>
  </w:style>
  <w:style w:type="paragraph" w:styleId="98">
    <w:name w:val="List Paragraph"/>
    <w:basedOn w:val="1"/>
    <w:qFormat/>
    <w:uiPriority w:val="0"/>
    <w:pPr>
      <w:ind w:left="1916" w:firstLine="200" w:firstLineChars="200"/>
    </w:pPr>
    <w:rPr>
      <w:rFonts w:ascii="Calibri" w:hAnsi="Calibri"/>
      <w:szCs w:val="22"/>
    </w:rPr>
  </w:style>
  <w:style w:type="paragraph" w:customStyle="1" w:styleId="99">
    <w:name w:val="List Paragraph1"/>
    <w:basedOn w:val="1"/>
    <w:qFormat/>
    <w:uiPriority w:val="0"/>
    <w:pPr>
      <w:ind w:firstLine="200" w:firstLineChars="200"/>
    </w:pPr>
    <w:rPr>
      <w:rFonts w:ascii="Calibri" w:hAnsi="Calibri"/>
      <w:szCs w:val="22"/>
    </w:rPr>
  </w:style>
  <w:style w:type="paragraph" w:customStyle="1" w:styleId="100">
    <w:name w:val="正文文本 21"/>
    <w:basedOn w:val="1"/>
    <w:qFormat/>
    <w:uiPriority w:val="0"/>
    <w:pPr>
      <w:suppressAutoHyphens/>
    </w:pPr>
    <w:rPr>
      <w:rFonts w:ascii="宋体"/>
      <w:sz w:val="30"/>
    </w:rPr>
  </w:style>
  <w:style w:type="character" w:customStyle="1" w:styleId="101">
    <w:name w:val="自定样式3"/>
    <w:qFormat/>
    <w:uiPriority w:val="0"/>
    <w:rPr>
      <w:rFonts w:ascii="宋体" w:eastAsia="宋体"/>
      <w:sz w:val="30"/>
      <w:szCs w:val="30"/>
    </w:rPr>
  </w:style>
  <w:style w:type="paragraph" w:customStyle="1" w:styleId="102">
    <w:name w:val="TOC 标题1"/>
    <w:basedOn w:val="4"/>
    <w:next w:val="1"/>
    <w:qFormat/>
    <w:uiPriority w:val="0"/>
    <w:pPr>
      <w:widowControl/>
      <w:adjustRightInd/>
      <w:snapToGrid/>
      <w:spacing w:before="480" w:line="276" w:lineRule="auto"/>
      <w:jc w:val="left"/>
      <w:outlineLvl w:val="9"/>
    </w:pPr>
    <w:rPr>
      <w:rFonts w:ascii="Cambria" w:hAnsi="Cambria"/>
      <w:bCs/>
      <w:color w:val="365F91"/>
      <w:kern w:val="0"/>
      <w:sz w:val="28"/>
      <w:szCs w:val="28"/>
    </w:rPr>
  </w:style>
  <w:style w:type="paragraph" w:customStyle="1" w:styleId="103">
    <w:name w:val="内文"/>
    <w:basedOn w:val="1"/>
    <w:qFormat/>
    <w:uiPriority w:val="0"/>
    <w:pPr>
      <w:spacing w:line="560" w:lineRule="exact"/>
      <w:ind w:firstLine="200" w:firstLineChars="200"/>
    </w:pPr>
    <w:rPr>
      <w:rFonts w:eastAsia="楷体_GB2312"/>
      <w:kern w:val="0"/>
      <w:sz w:val="30"/>
      <w:szCs w:val="28"/>
    </w:rPr>
  </w:style>
  <w:style w:type="paragraph" w:customStyle="1" w:styleId="104">
    <w:name w:val="彩色列表 - 强调文字颜色 11"/>
    <w:basedOn w:val="1"/>
    <w:qFormat/>
    <w:uiPriority w:val="0"/>
    <w:pPr>
      <w:ind w:firstLine="200" w:firstLineChars="200"/>
    </w:pPr>
    <w:rPr>
      <w:rFonts w:ascii="Calibri" w:hAnsi="Calibri"/>
      <w:szCs w:val="22"/>
    </w:rPr>
  </w:style>
  <w:style w:type="character" w:customStyle="1" w:styleId="105">
    <w:name w:val="st"/>
    <w:basedOn w:val="28"/>
    <w:qFormat/>
    <w:uiPriority w:val="0"/>
  </w:style>
  <w:style w:type="paragraph" w:customStyle="1" w:styleId="106">
    <w:name w:val="列出段落1"/>
    <w:basedOn w:val="1"/>
    <w:qFormat/>
    <w:uiPriority w:val="0"/>
    <w:pPr>
      <w:ind w:firstLine="200" w:firstLineChars="200"/>
    </w:pPr>
    <w:rPr>
      <w:rFonts w:ascii="Calibri" w:hAnsi="Calibri"/>
      <w:szCs w:val="22"/>
    </w:rPr>
  </w:style>
  <w:style w:type="paragraph" w:customStyle="1" w:styleId="107">
    <w:name w:val="样式 大标题 + 段前: 1 行"/>
    <w:basedOn w:val="1"/>
    <w:qFormat/>
    <w:uiPriority w:val="0"/>
    <w:pPr>
      <w:tabs>
        <w:tab w:val="left" w:pos="3465"/>
      </w:tabs>
      <w:spacing w:before="100" w:beforeLines="100" w:line="560" w:lineRule="exact"/>
      <w:jc w:val="center"/>
    </w:pPr>
    <w:rPr>
      <w:rFonts w:ascii="黑体" w:eastAsia="黑体" w:cs="宋体"/>
      <w:sz w:val="36"/>
    </w:rPr>
  </w:style>
  <w:style w:type="paragraph" w:customStyle="1" w:styleId="108">
    <w:name w:val="样式 内文 + 首行缩进:  2 字符2"/>
    <w:basedOn w:val="1"/>
    <w:qFormat/>
    <w:uiPriority w:val="0"/>
    <w:pPr>
      <w:widowControl/>
      <w:spacing w:line="560" w:lineRule="exact"/>
      <w:ind w:firstLine="200" w:firstLineChars="200"/>
      <w:jc w:val="left"/>
    </w:pPr>
    <w:rPr>
      <w:rFonts w:ascii="Calibri" w:hAnsi="Calibri" w:eastAsia="楷体_GB2312" w:cs="宋体"/>
      <w:kern w:val="0"/>
      <w:sz w:val="30"/>
    </w:rPr>
  </w:style>
  <w:style w:type="paragraph" w:customStyle="1" w:styleId="109">
    <w:name w:val="各处室："/>
    <w:basedOn w:val="1"/>
    <w:qFormat/>
    <w:uiPriority w:val="0"/>
    <w:pPr>
      <w:spacing w:line="560" w:lineRule="exact"/>
    </w:pPr>
    <w:rPr>
      <w:rFonts w:eastAsia="楷体_GB2312"/>
      <w:kern w:val="0"/>
      <w:sz w:val="30"/>
      <w:szCs w:val="28"/>
    </w:rPr>
  </w:style>
  <w:style w:type="paragraph" w:customStyle="1" w:styleId="110">
    <w:name w:val="xl65"/>
    <w:basedOn w:val="1"/>
    <w:qFormat/>
    <w:uiPriority w:val="0"/>
    <w:pPr>
      <w:widowControl/>
      <w:pBdr>
        <w:bottom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1">
    <w:name w:val="xl6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2">
    <w:name w:val="xl6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3">
    <w:name w:val="xl68"/>
    <w:basedOn w:val="1"/>
    <w:qFormat/>
    <w:uiPriority w:val="0"/>
    <w:pPr>
      <w:widowControl/>
      <w:pBdr>
        <w:left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4">
    <w:name w:val="xl6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cs="宋体"/>
      <w:color w:val="000000"/>
      <w:kern w:val="0"/>
      <w:sz w:val="24"/>
      <w:szCs w:val="24"/>
    </w:rPr>
  </w:style>
  <w:style w:type="paragraph" w:customStyle="1" w:styleId="115">
    <w:name w:val="xl7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cs="宋体"/>
      <w:color w:val="000000"/>
      <w:kern w:val="0"/>
      <w:sz w:val="24"/>
      <w:szCs w:val="24"/>
    </w:rPr>
  </w:style>
  <w:style w:type="paragraph" w:customStyle="1" w:styleId="11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000000"/>
      <w:kern w:val="0"/>
      <w:sz w:val="24"/>
      <w:szCs w:val="24"/>
    </w:rPr>
  </w:style>
  <w:style w:type="paragraph" w:customStyle="1" w:styleId="117">
    <w:name w:val="xl72"/>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8">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cs="宋体"/>
      <w:color w:val="000000"/>
      <w:kern w:val="0"/>
      <w:sz w:val="24"/>
      <w:szCs w:val="24"/>
    </w:rPr>
  </w:style>
  <w:style w:type="paragraph" w:customStyle="1" w:styleId="119">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cs="宋体"/>
      <w:b/>
      <w:bCs/>
      <w:color w:val="000000"/>
      <w:kern w:val="0"/>
      <w:sz w:val="24"/>
      <w:szCs w:val="24"/>
    </w:rPr>
  </w:style>
  <w:style w:type="paragraph" w:customStyle="1" w:styleId="120">
    <w:name w:val="Char Char1 Char Char Char Char1"/>
    <w:basedOn w:val="1"/>
    <w:qFormat/>
    <w:uiPriority w:val="0"/>
    <w:pPr>
      <w:widowControl/>
      <w:spacing w:after="160" w:line="240" w:lineRule="exact"/>
      <w:jc w:val="left"/>
    </w:pPr>
    <w:rPr>
      <w:rFonts w:ascii="Arial" w:hAnsi="Arial" w:eastAsia="Times New Roman" w:cs="Verdana"/>
      <w:b/>
      <w:kern w:val="0"/>
      <w:sz w:val="24"/>
      <w:szCs w:val="24"/>
    </w:rPr>
  </w:style>
  <w:style w:type="paragraph" w:customStyle="1" w:styleId="121">
    <w:name w:val="contentarticle"/>
    <w:basedOn w:val="1"/>
    <w:qFormat/>
    <w:uiPriority w:val="0"/>
    <w:pPr>
      <w:widowControl/>
      <w:spacing w:before="100" w:beforeAutospacing="1" w:after="100" w:afterAutospacing="1"/>
      <w:jc w:val="left"/>
    </w:pPr>
    <w:rPr>
      <w:rFonts w:ascii="宋体" w:cs="宋体"/>
      <w:kern w:val="0"/>
      <w:sz w:val="24"/>
      <w:szCs w:val="24"/>
      <w:lang w:bidi="hi-IN"/>
    </w:rPr>
  </w:style>
  <w:style w:type="paragraph" w:customStyle="1" w:styleId="122">
    <w:name w:val="普通 (Web)"/>
    <w:basedOn w:val="1"/>
    <w:qFormat/>
    <w:uiPriority w:val="0"/>
    <w:pPr>
      <w:suppressAutoHyphens/>
      <w:spacing w:before="100" w:after="100"/>
    </w:pPr>
    <w:rPr>
      <w:rFonts w:ascii="Arial Unicode MS" w:eastAsia="Arial Unicode MS"/>
    </w:rPr>
  </w:style>
  <w:style w:type="paragraph" w:customStyle="1" w:styleId="123">
    <w:name w:val="WW-题注"/>
    <w:basedOn w:val="1"/>
    <w:next w:val="1"/>
    <w:qFormat/>
    <w:uiPriority w:val="0"/>
    <w:pPr>
      <w:suppressAutoHyphens/>
      <w:spacing w:before="152" w:after="160"/>
      <w:textAlignment w:val="baseline"/>
    </w:pPr>
    <w:rPr>
      <w:rFonts w:ascii="Arial" w:hAnsi="Arial" w:eastAsia="黑体"/>
    </w:rPr>
  </w:style>
  <w:style w:type="paragraph" w:customStyle="1" w:styleId="124">
    <w:name w:val="修订1"/>
    <w:qFormat/>
    <w:uiPriority w:val="0"/>
    <w:rPr>
      <w:rFonts w:ascii="Calibri" w:hAnsi="Calibri" w:eastAsia="宋体" w:cs="Times New Roman"/>
      <w:kern w:val="2"/>
      <w:sz w:val="21"/>
      <w:szCs w:val="22"/>
      <w:lang w:val="en-US" w:eastAsia="zh-CN" w:bidi="ar-SA"/>
    </w:rPr>
  </w:style>
  <w:style w:type="paragraph" w:customStyle="1" w:styleId="125">
    <w:name w:val="列出段落2"/>
    <w:next w:val="8"/>
    <w:qFormat/>
    <w:uiPriority w:val="0"/>
    <w:pPr>
      <w:widowControl w:val="0"/>
      <w:ind w:firstLine="200" w:firstLineChars="200"/>
      <w:jc w:val="both"/>
    </w:pPr>
    <w:rPr>
      <w:rFonts w:ascii="Calibri" w:hAnsi="Calibri" w:eastAsia="宋体" w:cs="宋体"/>
      <w:kern w:val="2"/>
      <w:sz w:val="21"/>
      <w:szCs w:val="28"/>
      <w:lang w:val="en-US" w:eastAsia="zh-CN" w:bidi="ar-SA"/>
    </w:rPr>
  </w:style>
  <w:style w:type="paragraph" w:customStyle="1" w:styleId="126">
    <w:name w:val="章"/>
    <w:basedOn w:val="1"/>
    <w:qFormat/>
    <w:uiPriority w:val="0"/>
    <w:pPr>
      <w:tabs>
        <w:tab w:val="left" w:pos="1287"/>
      </w:tabs>
      <w:ind w:firstLine="567"/>
      <w:jc w:val="center"/>
    </w:pPr>
    <w:rPr>
      <w:rFonts w:ascii="黑体" w:eastAsia="黑体" w:cs="宋体"/>
      <w:sz w:val="32"/>
      <w:szCs w:val="28"/>
    </w:rPr>
  </w:style>
  <w:style w:type="paragraph" w:customStyle="1" w:styleId="127">
    <w:name w:val="gzh-b2-gov"/>
    <w:next w:val="1"/>
    <w:qFormat/>
    <w:uiPriority w:val="0"/>
    <w:pPr>
      <w:spacing w:line="560" w:lineRule="exact"/>
      <w:ind w:firstLine="200" w:firstLineChars="200"/>
      <w:outlineLvl w:val="1"/>
    </w:pPr>
    <w:rPr>
      <w:rFonts w:ascii="楷体_GB2312" w:hAnsi="Times New Roman" w:eastAsia="楷体_GB2312" w:cs="Times New Roman"/>
      <w:bCs/>
      <w:kern w:val="2"/>
      <w:sz w:val="32"/>
      <w:szCs w:val="32"/>
      <w:lang w:val="en-US" w:eastAsia="zh-CN" w:bidi="ar-SA"/>
    </w:rPr>
  </w:style>
  <w:style w:type="paragraph" w:customStyle="1" w:styleId="128">
    <w:name w:val="修订2"/>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bez</Company>
  <Pages>14</Pages>
  <Words>1079</Words>
  <Characters>6152</Characters>
  <Lines>51</Lines>
  <Paragraphs>14</Paragraphs>
  <TotalTime>6</TotalTime>
  <ScaleCrop>false</ScaleCrop>
  <LinksUpToDate>false</LinksUpToDate>
  <CharactersWithSpaces>7217</CharactersWithSpaces>
  <Application>WPS Office_10.8.0.7285_F1E327BC-269C-435d-A152-05C5408002CA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2021-02-02T17:40:00Z</dcterms:created>
  <dc:creator>011</dc:creator>
  <cp:lastModifiedBy>admin</cp:lastModifiedBy>
  <cp:lastPrinted>2021-01-07T20:20:00Z</cp:lastPrinted>
  <dcterms:modified xsi:type="dcterms:W3CDTF">2021-02-02T14:21:52Z</dcterms:modified>
  <dc:title>建设中关村科技园区领导小组办公室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2052-10.8.0.7285</vt:lpwstr>
  </property>
  <property fmtid="{D5CDD505-2E9C-101B-9397-08002B2CF9AE}" pid="3" name="KSOSaveFontToCloudKey">
    <vt:lpwstr>260747209_embed</vt:lpwstr>
  </property>
</Properties>
</file>