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spacing w:before="0" w:beforeAutospacing="0" w:after="0" w:afterAutospacing="0" w:line="560" w:lineRule="exact"/>
        <w:jc w:val="left"/>
        <w:rPr>
          <w:rFonts w:hint="eastAsia" w:ascii="仿宋_GB2312" w:hAnsi="宋体" w:eastAsia="方正小标宋简体" w:cs="宋体"/>
          <w:color w:val="auto"/>
          <w:w w:val="80"/>
          <w:sz w:val="90"/>
          <w:szCs w:val="90"/>
          <w:highlight w:val="none"/>
          <w:u w:val="none"/>
        </w:rPr>
      </w:pPr>
      <w:r>
        <w:rPr>
          <w:rFonts w:hint="eastAsia" w:ascii="仿宋_GB2312" w:hAnsi="Calibri" w:eastAsia="仿宋_GB2312"/>
          <w:b/>
          <w:bCs/>
          <w:sz w:val="32"/>
          <w:szCs w:val="32"/>
          <w:u w:val="none"/>
          <w:lang w:eastAsia="zh-CN"/>
        </w:rPr>
        <w:t>附件</w:t>
      </w:r>
      <w:r>
        <w:rPr>
          <w:rFonts w:hint="eastAsia" w:ascii="仿宋_GB2312" w:hAnsi="Calibri" w:eastAsia="仿宋_GB2312"/>
          <w:b/>
          <w:bCs/>
          <w:sz w:val="32"/>
          <w:szCs w:val="32"/>
          <w:u w:val="none"/>
          <w:lang w:val="en-US" w:eastAsia="zh-CN"/>
        </w:rPr>
        <w:t>2</w:t>
      </w:r>
    </w:p>
    <w:p>
      <w:pPr>
        <w:overflowPunct w:val="0"/>
        <w:snapToGrid w:val="0"/>
        <w:spacing w:line="56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关于《</w:t>
      </w:r>
      <w:r>
        <w:rPr>
          <w:rFonts w:hint="eastAsia" w:ascii="方正小标宋_GBK" w:hAnsi="FZXiaoBiaoSong-B05" w:eastAsia="方正小标宋_GBK" w:cs="方正小标宋简体"/>
          <w:sz w:val="44"/>
          <w:szCs w:val="44"/>
          <w:lang w:val="en-US" w:eastAsia="zh-CN"/>
        </w:rPr>
        <w:t>&lt;</w:t>
      </w:r>
      <w:r>
        <w:rPr>
          <w:rFonts w:hint="eastAsia" w:ascii="方正小标宋_GBK" w:hAnsi="FZXiaoBiaoSong-B05" w:eastAsia="方正小标宋_GBK" w:cs="方正小标宋简体"/>
          <w:sz w:val="44"/>
          <w:szCs w:val="44"/>
        </w:rPr>
        <w:t>中关村国家自主创新示范区促进科技金融深度融合创新发展支持资金管理办法</w:t>
      </w:r>
      <w:r>
        <w:rPr>
          <w:rFonts w:hint="eastAsia" w:ascii="方正小标宋_GBK" w:hAnsi="FZXiaoBiaoSong-B05" w:eastAsia="方正小标宋_GBK" w:cs="方正小标宋简体"/>
          <w:sz w:val="44"/>
          <w:szCs w:val="44"/>
          <w:lang w:val="en-US" w:eastAsia="zh-CN"/>
        </w:rPr>
        <w:t>&gt;</w:t>
      </w:r>
      <w:r>
        <w:rPr>
          <w:rFonts w:hint="eastAsia" w:ascii="方正小标宋_GBK" w:hAnsi="FZXiaoBiaoSong-B05" w:eastAsia="方正小标宋_GBK" w:cs="方正小标宋简体"/>
          <w:sz w:val="44"/>
          <w:szCs w:val="44"/>
        </w:rPr>
        <w:t>实施细则</w:t>
      </w:r>
      <w:r>
        <w:rPr>
          <w:rFonts w:hint="eastAsia" w:ascii="方正小标宋_GBK" w:hAnsi="方正小标宋简体" w:eastAsia="方正小标宋_GBK" w:cs="方正小标宋简体"/>
          <w:sz w:val="44"/>
          <w:szCs w:val="44"/>
        </w:rPr>
        <w:t>》的</w:t>
      </w:r>
      <w:r>
        <w:rPr>
          <w:rFonts w:hint="eastAsia" w:ascii="方正小标宋_GBK" w:hAnsi="方正小标宋简体" w:eastAsia="方正小标宋_GBK" w:cs="方正小标宋简体"/>
          <w:sz w:val="44"/>
          <w:szCs w:val="44"/>
          <w:lang w:eastAsia="zh-CN"/>
        </w:rPr>
        <w:t>起草</w:t>
      </w:r>
      <w:bookmarkStart w:id="0" w:name="_GoBack"/>
      <w:bookmarkEnd w:id="0"/>
      <w:r>
        <w:rPr>
          <w:rFonts w:hint="eastAsia" w:ascii="方正小标宋_GBK" w:hAnsi="方正小标宋简体" w:eastAsia="方正小标宋_GBK" w:cs="方正小标宋简体"/>
          <w:sz w:val="44"/>
          <w:szCs w:val="44"/>
        </w:rPr>
        <w:t>说明</w:t>
      </w:r>
    </w:p>
    <w:p>
      <w:pPr>
        <w:snapToGrid w:val="0"/>
        <w:spacing w:line="560" w:lineRule="exact"/>
        <w:jc w:val="center"/>
        <w:rPr>
          <w:rFonts w:ascii="仿宋_GB2312"/>
          <w:sz w:val="28"/>
          <w:szCs w:val="28"/>
        </w:rPr>
      </w:pPr>
    </w:p>
    <w:p>
      <w:pPr>
        <w:snapToGrid w:val="0"/>
        <w:spacing w:line="560" w:lineRule="exact"/>
        <w:ind w:firstLine="640" w:firstLineChars="200"/>
        <w:textAlignment w:val="baseline"/>
        <w:rPr>
          <w:rFonts w:ascii="仿宋_GB2312" w:hAnsi="宋体" w:cs="宋体"/>
          <w:sz w:val="32"/>
          <w:szCs w:val="32"/>
        </w:rPr>
      </w:pPr>
      <w:r>
        <w:rPr>
          <w:rFonts w:hint="eastAsia" w:ascii="仿宋_GB2312"/>
          <w:color w:val="000000"/>
          <w:sz w:val="32"/>
          <w:szCs w:val="32"/>
        </w:rPr>
        <w:t>为进一步明确新修订《中关村国家自主创新示范区促进科技金融深度融合创新发展支持资金管理办法》（以下简称《管理办法》）的支持对象、支持条件、支持内容、申报材料等，为企业理解政策、申报政策、享受政策提供便利，确保政策落地实施，中关村科技园区管理委员会研究修订了《〈中关村国家自主创新示范区促进科技金融深度融合创新发展支持资金管理办法〉实施细则》（以下简称《实施细则》）。</w:t>
      </w:r>
      <w:r>
        <w:rPr>
          <w:rFonts w:hint="eastAsia" w:ascii="仿宋_GB2312" w:hAnsi="宋体" w:cs="宋体"/>
          <w:sz w:val="32"/>
          <w:szCs w:val="32"/>
        </w:rPr>
        <w:t>相关情况说明如下：</w:t>
      </w:r>
    </w:p>
    <w:p>
      <w:pPr>
        <w:overflowPunct w:val="0"/>
        <w:snapToGrid w:val="0"/>
        <w:spacing w:line="560" w:lineRule="exact"/>
        <w:ind w:left="641"/>
        <w:outlineLvl w:val="0"/>
        <w:rPr>
          <w:rFonts w:ascii="黑体" w:eastAsia="黑体"/>
          <w:sz w:val="32"/>
          <w:szCs w:val="32"/>
        </w:rPr>
      </w:pPr>
      <w:r>
        <w:rPr>
          <w:rFonts w:hint="eastAsia" w:ascii="黑体" w:eastAsia="黑体"/>
          <w:sz w:val="32"/>
          <w:szCs w:val="32"/>
        </w:rPr>
        <w:t>一、背景情况</w:t>
      </w:r>
    </w:p>
    <w:p>
      <w:pPr>
        <w:pStyle w:val="5"/>
      </w:pPr>
      <w:r>
        <w:rPr>
          <w:rFonts w:hint="eastAsia"/>
        </w:rPr>
        <w:t>（一）主要考虑</w:t>
      </w:r>
    </w:p>
    <w:p>
      <w:pPr>
        <w:snapToGrid w:val="0"/>
        <w:spacing w:line="560" w:lineRule="exact"/>
        <w:ind w:firstLine="640" w:firstLineChars="200"/>
        <w:textAlignment w:val="baseline"/>
        <w:rPr>
          <w:rFonts w:ascii="仿宋_GB2312"/>
          <w:color w:val="000000"/>
          <w:sz w:val="32"/>
          <w:szCs w:val="32"/>
        </w:rPr>
      </w:pPr>
      <w:r>
        <w:rPr>
          <w:rFonts w:hint="eastAsia" w:ascii="仿宋_GB2312"/>
          <w:color w:val="000000"/>
          <w:sz w:val="32"/>
          <w:szCs w:val="32"/>
        </w:rPr>
        <w:t>按照首都“十四五”时期经济社会发展指导思想、国际科技创新中心和“两区”建设要求，以申设中关村科创金融试验区为契机，坚持改革创新和风险防范并重，持续优化科技金融政策支持体系，根据《管理办法》修订情况，在《实施细则》中明确各政策点的具体支持对象和支持内容、支持条件、申报材料，</w:t>
      </w:r>
      <w:r>
        <w:rPr>
          <w:rFonts w:ascii="仿宋_GB2312" w:hAnsi="微软雅黑"/>
          <w:sz w:val="32"/>
          <w:szCs w:val="32"/>
        </w:rPr>
        <w:t>进一步</w:t>
      </w:r>
      <w:r>
        <w:rPr>
          <w:rFonts w:hint="eastAsia" w:ascii="仿宋_GB2312" w:hAnsi="微软雅黑"/>
          <w:sz w:val="32"/>
          <w:szCs w:val="32"/>
        </w:rPr>
        <w:t>完善金融支持创新体系，促进新技术产业化规模化应用，推进科技金融供给侧结构性改革，促进金融与科技、产业、经济深度融合，助推产业升级和经济高质量发展</w:t>
      </w:r>
      <w:r>
        <w:rPr>
          <w:rFonts w:hint="eastAsia" w:ascii="仿宋_GB2312"/>
          <w:color w:val="000000"/>
          <w:sz w:val="32"/>
          <w:szCs w:val="32"/>
        </w:rPr>
        <w:t>。</w:t>
      </w:r>
    </w:p>
    <w:p>
      <w:pPr>
        <w:spacing w:line="560" w:lineRule="exact"/>
        <w:ind w:firstLine="640" w:firstLineChars="200"/>
        <w:jc w:val="left"/>
        <w:rPr>
          <w:rStyle w:val="27"/>
          <w:rFonts w:ascii="楷体_GB2312" w:hAnsi="楷体_GB2312" w:eastAsia="楷体_GB2312" w:cs="楷体_GB2312"/>
          <w:bCs/>
          <w:sz w:val="32"/>
          <w:szCs w:val="32"/>
        </w:rPr>
      </w:pPr>
      <w:r>
        <w:rPr>
          <w:rFonts w:hint="eastAsia" w:ascii="楷体_GB2312" w:eastAsia="楷体_GB2312"/>
          <w:sz w:val="32"/>
          <w:szCs w:val="32"/>
        </w:rPr>
        <w:t>（二）</w:t>
      </w:r>
      <w:r>
        <w:rPr>
          <w:rStyle w:val="27"/>
          <w:rFonts w:hint="eastAsia" w:ascii="楷体_GB2312" w:hAnsi="楷体_GB2312" w:eastAsia="楷体_GB2312" w:cs="楷体_GB2312"/>
          <w:bCs/>
          <w:sz w:val="32"/>
          <w:szCs w:val="32"/>
        </w:rPr>
        <w:t>起草过程</w:t>
      </w:r>
    </w:p>
    <w:p>
      <w:pPr>
        <w:spacing w:line="560" w:lineRule="exact"/>
        <w:ind w:firstLine="642" w:firstLineChars="200"/>
        <w:jc w:val="left"/>
        <w:rPr>
          <w:rFonts w:ascii="仿宋_GB2312"/>
          <w:sz w:val="32"/>
          <w:szCs w:val="32"/>
        </w:rPr>
      </w:pPr>
      <w:r>
        <w:rPr>
          <w:rFonts w:hint="eastAsia" w:ascii="仿宋_GB2312"/>
          <w:b/>
          <w:sz w:val="32"/>
          <w:szCs w:val="32"/>
        </w:rPr>
        <w:t>一是</w:t>
      </w:r>
      <w:r>
        <w:rPr>
          <w:rFonts w:hint="eastAsia" w:ascii="仿宋_GB2312"/>
          <w:sz w:val="32"/>
          <w:szCs w:val="32"/>
        </w:rPr>
        <w:t>依据新修订的《管理办法》进行实施细则修订工作。</w:t>
      </w:r>
      <w:r>
        <w:rPr>
          <w:rFonts w:hint="eastAsia" w:ascii="仿宋_GB2312"/>
          <w:b/>
          <w:sz w:val="32"/>
          <w:szCs w:val="32"/>
        </w:rPr>
        <w:t>二是</w:t>
      </w:r>
      <w:r>
        <w:rPr>
          <w:rFonts w:hint="eastAsia" w:ascii="仿宋_GB2312"/>
          <w:sz w:val="32"/>
          <w:szCs w:val="32"/>
        </w:rPr>
        <w:t>多次组织企业、金融机构、知识产权专业机构等开展座谈或实地调研，听取有关意见建议和政策需求。</w:t>
      </w:r>
      <w:r>
        <w:rPr>
          <w:rFonts w:hint="eastAsia" w:ascii="仿宋_GB2312"/>
          <w:b/>
          <w:sz w:val="32"/>
          <w:szCs w:val="32"/>
        </w:rPr>
        <w:t>三是</w:t>
      </w:r>
      <w:r>
        <w:rPr>
          <w:rFonts w:hint="eastAsia" w:ascii="仿宋_GB2312"/>
          <w:sz w:val="32"/>
          <w:szCs w:val="32"/>
        </w:rPr>
        <w:t>在采纳有关政策建议的基础上形成《实施细则》修订稿，并开展了多轮论证、完善，形成了《实施细则》征求意见稿。</w:t>
      </w:r>
    </w:p>
    <w:p>
      <w:pPr>
        <w:pStyle w:val="4"/>
        <w:ind w:left="709" w:firstLine="0" w:firstLineChars="0"/>
      </w:pPr>
      <w:r>
        <w:rPr>
          <w:rFonts w:hint="eastAsia"/>
        </w:rPr>
        <w:t>二、主要</w:t>
      </w:r>
      <w:r>
        <w:t>内容</w:t>
      </w:r>
    </w:p>
    <w:p>
      <w:pPr>
        <w:spacing w:line="560" w:lineRule="exact"/>
        <w:ind w:firstLine="640" w:firstLineChars="200"/>
        <w:rPr>
          <w:rFonts w:ascii="仿宋_GB2312"/>
          <w:sz w:val="32"/>
          <w:szCs w:val="32"/>
        </w:rPr>
      </w:pPr>
      <w:r>
        <w:rPr>
          <w:rFonts w:hint="eastAsia" w:ascii="仿宋_GB2312"/>
          <w:sz w:val="32"/>
          <w:szCs w:val="32"/>
        </w:rPr>
        <w:t xml:space="preserve">《实施细则》共六章49条，重点内容如下：  </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第一章总则，明确了</w:t>
      </w:r>
      <w:r>
        <w:rPr>
          <w:rFonts w:hint="eastAsia" w:ascii="仿宋_GB2312"/>
          <w:sz w:val="32"/>
          <w:szCs w:val="32"/>
        </w:rPr>
        <w:t>《实施细则》</w:t>
      </w:r>
      <w:r>
        <w:rPr>
          <w:rFonts w:hint="eastAsia" w:ascii="仿宋_GB2312" w:hAnsi="宋体" w:cs="宋体"/>
          <w:sz w:val="32"/>
          <w:szCs w:val="32"/>
        </w:rPr>
        <w:t>的制定依据、资金来源和支持对象等内容。</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第二章完善产融结合的金融支持体系，明确了天使和创业投资、多层次资本市场、并购重组等方面各具体政策点的支持对象和支持内容、支持条件、申报材料。</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第三章持续深化科技信贷创新，明确了科技信贷领域各具体政策点的支持对象和支持内容、支持条件、申报材料。</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第四章支持金融科技引领发展，明确了金融科技领域各具体政策点的支持对象和支持内容、支持条件、申报材料。</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第五章受理、审核与监督管理，明确了支持资金申报的途径、流程、资金使用、监督管理等内容。</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第六章附则，主要对其他事项及《实施细则》的施行日期等进行明确。</w:t>
      </w:r>
    </w:p>
    <w:p>
      <w:pPr>
        <w:autoSpaceDE w:val="0"/>
        <w:autoSpaceDN w:val="0"/>
        <w:adjustRightInd w:val="0"/>
        <w:spacing w:line="560" w:lineRule="exact"/>
        <w:ind w:firstLine="636" w:firstLineChars="199"/>
        <w:rPr>
          <w:rFonts w:ascii="仿宋_GB2312" w:hAnsi="宋体" w:cs="宋体"/>
          <w:sz w:val="32"/>
          <w:szCs w:val="32"/>
        </w:rPr>
      </w:pPr>
      <w:r>
        <w:rPr>
          <w:rFonts w:hint="eastAsia" w:ascii="仿宋_GB2312" w:hAnsi="宋体" w:cs="宋体"/>
          <w:sz w:val="32"/>
          <w:szCs w:val="32"/>
        </w:rPr>
        <w:t>特此说明。</w:t>
      </w:r>
    </w:p>
    <w:sectPr>
      <w:headerReference r:id="rId3" w:type="default"/>
      <w:footerReference r:id="rId4"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8" w:usb3="00000000" w:csb0="000001FF" w:csb1="00000000"/>
  </w:font>
  <w:font w:name="Courier New">
    <w:altName w:val="DejaVu Sans"/>
    <w:panose1 w:val="02070309020205020404"/>
    <w:charset w:val="00"/>
    <w:family w:val="moder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FZXiaoBiaoSong-B05">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4C17"/>
    <w:rsid w:val="00014E8D"/>
    <w:rsid w:val="00042C5C"/>
    <w:rsid w:val="00054965"/>
    <w:rsid w:val="0005583F"/>
    <w:rsid w:val="00060E9B"/>
    <w:rsid w:val="00082FAC"/>
    <w:rsid w:val="00097692"/>
    <w:rsid w:val="000A353D"/>
    <w:rsid w:val="000A36B6"/>
    <w:rsid w:val="000B0C44"/>
    <w:rsid w:val="000C00E3"/>
    <w:rsid w:val="000E69A9"/>
    <w:rsid w:val="000F2A75"/>
    <w:rsid w:val="001053E8"/>
    <w:rsid w:val="00120EC6"/>
    <w:rsid w:val="00136413"/>
    <w:rsid w:val="00144053"/>
    <w:rsid w:val="00152EE2"/>
    <w:rsid w:val="00165CCE"/>
    <w:rsid w:val="00167DB3"/>
    <w:rsid w:val="00177FD2"/>
    <w:rsid w:val="001823A7"/>
    <w:rsid w:val="001936ED"/>
    <w:rsid w:val="001940EA"/>
    <w:rsid w:val="001A792D"/>
    <w:rsid w:val="001B27D2"/>
    <w:rsid w:val="001B71BA"/>
    <w:rsid w:val="001C12A0"/>
    <w:rsid w:val="001F7B77"/>
    <w:rsid w:val="00213995"/>
    <w:rsid w:val="00237032"/>
    <w:rsid w:val="002403EF"/>
    <w:rsid w:val="0025554A"/>
    <w:rsid w:val="00271A6A"/>
    <w:rsid w:val="00282FB3"/>
    <w:rsid w:val="002A5DBB"/>
    <w:rsid w:val="002A64A6"/>
    <w:rsid w:val="002B47AB"/>
    <w:rsid w:val="002B7492"/>
    <w:rsid w:val="002C7D1E"/>
    <w:rsid w:val="002D3D88"/>
    <w:rsid w:val="002D5609"/>
    <w:rsid w:val="0030024C"/>
    <w:rsid w:val="0030515E"/>
    <w:rsid w:val="003260D9"/>
    <w:rsid w:val="0033394B"/>
    <w:rsid w:val="00335FBC"/>
    <w:rsid w:val="003445CD"/>
    <w:rsid w:val="00351377"/>
    <w:rsid w:val="00356EF8"/>
    <w:rsid w:val="00361966"/>
    <w:rsid w:val="00363087"/>
    <w:rsid w:val="003754A9"/>
    <w:rsid w:val="00387C9A"/>
    <w:rsid w:val="00395BCD"/>
    <w:rsid w:val="003C02CA"/>
    <w:rsid w:val="003C6758"/>
    <w:rsid w:val="0040124D"/>
    <w:rsid w:val="00413167"/>
    <w:rsid w:val="004168FE"/>
    <w:rsid w:val="00417AC2"/>
    <w:rsid w:val="0042242A"/>
    <w:rsid w:val="00427EFA"/>
    <w:rsid w:val="00437668"/>
    <w:rsid w:val="00447ADE"/>
    <w:rsid w:val="004851F0"/>
    <w:rsid w:val="004A3C92"/>
    <w:rsid w:val="004A5B33"/>
    <w:rsid w:val="004D4CBB"/>
    <w:rsid w:val="004F3809"/>
    <w:rsid w:val="00513DDF"/>
    <w:rsid w:val="00522634"/>
    <w:rsid w:val="00536FB5"/>
    <w:rsid w:val="005408F5"/>
    <w:rsid w:val="0054476C"/>
    <w:rsid w:val="00547A52"/>
    <w:rsid w:val="0055381A"/>
    <w:rsid w:val="00555130"/>
    <w:rsid w:val="00573110"/>
    <w:rsid w:val="005815E2"/>
    <w:rsid w:val="005818A6"/>
    <w:rsid w:val="00582E8B"/>
    <w:rsid w:val="005A10C2"/>
    <w:rsid w:val="005B40B3"/>
    <w:rsid w:val="005D2305"/>
    <w:rsid w:val="005F1A81"/>
    <w:rsid w:val="005F37F6"/>
    <w:rsid w:val="005F3937"/>
    <w:rsid w:val="0061352E"/>
    <w:rsid w:val="0061711B"/>
    <w:rsid w:val="006239B3"/>
    <w:rsid w:val="00633775"/>
    <w:rsid w:val="00657980"/>
    <w:rsid w:val="00666FBB"/>
    <w:rsid w:val="006718E2"/>
    <w:rsid w:val="0067570F"/>
    <w:rsid w:val="00677B1E"/>
    <w:rsid w:val="006A34BB"/>
    <w:rsid w:val="006B360F"/>
    <w:rsid w:val="006B4C7B"/>
    <w:rsid w:val="006C0A08"/>
    <w:rsid w:val="006C34A9"/>
    <w:rsid w:val="006E01D4"/>
    <w:rsid w:val="006F1703"/>
    <w:rsid w:val="007002DA"/>
    <w:rsid w:val="007239A8"/>
    <w:rsid w:val="00752B5A"/>
    <w:rsid w:val="00753402"/>
    <w:rsid w:val="007652EF"/>
    <w:rsid w:val="007662B2"/>
    <w:rsid w:val="00787BF2"/>
    <w:rsid w:val="007A1DFE"/>
    <w:rsid w:val="007B5262"/>
    <w:rsid w:val="007C3F50"/>
    <w:rsid w:val="007E02F9"/>
    <w:rsid w:val="0080611A"/>
    <w:rsid w:val="008063F0"/>
    <w:rsid w:val="00816189"/>
    <w:rsid w:val="00842A6F"/>
    <w:rsid w:val="00851059"/>
    <w:rsid w:val="00851F4A"/>
    <w:rsid w:val="00852F38"/>
    <w:rsid w:val="00855C05"/>
    <w:rsid w:val="00872E9D"/>
    <w:rsid w:val="0088031E"/>
    <w:rsid w:val="00881E23"/>
    <w:rsid w:val="0089188F"/>
    <w:rsid w:val="008968B4"/>
    <w:rsid w:val="008C20FB"/>
    <w:rsid w:val="008C5D1A"/>
    <w:rsid w:val="008D030D"/>
    <w:rsid w:val="008D7885"/>
    <w:rsid w:val="008F6150"/>
    <w:rsid w:val="00900C32"/>
    <w:rsid w:val="0090426F"/>
    <w:rsid w:val="00904421"/>
    <w:rsid w:val="00904AE2"/>
    <w:rsid w:val="00915222"/>
    <w:rsid w:val="00922F05"/>
    <w:rsid w:val="0092492E"/>
    <w:rsid w:val="00930DE3"/>
    <w:rsid w:val="00933A68"/>
    <w:rsid w:val="00935A51"/>
    <w:rsid w:val="00940226"/>
    <w:rsid w:val="0095130D"/>
    <w:rsid w:val="009563DB"/>
    <w:rsid w:val="009567FB"/>
    <w:rsid w:val="00956A4A"/>
    <w:rsid w:val="009747C1"/>
    <w:rsid w:val="0098509D"/>
    <w:rsid w:val="009940A2"/>
    <w:rsid w:val="009B584B"/>
    <w:rsid w:val="009B79FB"/>
    <w:rsid w:val="009B7BA6"/>
    <w:rsid w:val="009C7592"/>
    <w:rsid w:val="00A06652"/>
    <w:rsid w:val="00A07778"/>
    <w:rsid w:val="00A07F40"/>
    <w:rsid w:val="00A24A33"/>
    <w:rsid w:val="00A64471"/>
    <w:rsid w:val="00A70209"/>
    <w:rsid w:val="00AA0E7D"/>
    <w:rsid w:val="00AA3A58"/>
    <w:rsid w:val="00AA7A25"/>
    <w:rsid w:val="00AA7B4A"/>
    <w:rsid w:val="00AB488D"/>
    <w:rsid w:val="00AC732D"/>
    <w:rsid w:val="00AD7939"/>
    <w:rsid w:val="00AE5CBB"/>
    <w:rsid w:val="00AE7D35"/>
    <w:rsid w:val="00AF143C"/>
    <w:rsid w:val="00AF7926"/>
    <w:rsid w:val="00B123CB"/>
    <w:rsid w:val="00B15BF7"/>
    <w:rsid w:val="00B239B1"/>
    <w:rsid w:val="00B23CEB"/>
    <w:rsid w:val="00B26166"/>
    <w:rsid w:val="00B3751E"/>
    <w:rsid w:val="00B41294"/>
    <w:rsid w:val="00B466AA"/>
    <w:rsid w:val="00B46CE0"/>
    <w:rsid w:val="00B46F2B"/>
    <w:rsid w:val="00B54C46"/>
    <w:rsid w:val="00B6127A"/>
    <w:rsid w:val="00B75E11"/>
    <w:rsid w:val="00B830E6"/>
    <w:rsid w:val="00BB4614"/>
    <w:rsid w:val="00BD3613"/>
    <w:rsid w:val="00C06E5B"/>
    <w:rsid w:val="00C06FFB"/>
    <w:rsid w:val="00C51817"/>
    <w:rsid w:val="00C525D7"/>
    <w:rsid w:val="00C53FDC"/>
    <w:rsid w:val="00C74936"/>
    <w:rsid w:val="00C7647C"/>
    <w:rsid w:val="00C76F86"/>
    <w:rsid w:val="00C84BC9"/>
    <w:rsid w:val="00D009A9"/>
    <w:rsid w:val="00D14BED"/>
    <w:rsid w:val="00D45B6E"/>
    <w:rsid w:val="00D75EAE"/>
    <w:rsid w:val="00D918A5"/>
    <w:rsid w:val="00DD0740"/>
    <w:rsid w:val="00DD26AC"/>
    <w:rsid w:val="00DD45D9"/>
    <w:rsid w:val="00DD543E"/>
    <w:rsid w:val="00E04A8A"/>
    <w:rsid w:val="00E166EA"/>
    <w:rsid w:val="00E24F79"/>
    <w:rsid w:val="00E2792F"/>
    <w:rsid w:val="00E4049F"/>
    <w:rsid w:val="00E44108"/>
    <w:rsid w:val="00E510DD"/>
    <w:rsid w:val="00E61BFD"/>
    <w:rsid w:val="00E8722B"/>
    <w:rsid w:val="00EC4A69"/>
    <w:rsid w:val="00ED15E4"/>
    <w:rsid w:val="00ED5767"/>
    <w:rsid w:val="00EF7FB1"/>
    <w:rsid w:val="00F359ED"/>
    <w:rsid w:val="00F35B12"/>
    <w:rsid w:val="00F650F5"/>
    <w:rsid w:val="00F66CBA"/>
    <w:rsid w:val="00F72703"/>
    <w:rsid w:val="00F80C8C"/>
    <w:rsid w:val="00F84C17"/>
    <w:rsid w:val="00F91998"/>
    <w:rsid w:val="00FA2566"/>
    <w:rsid w:val="00FB00C4"/>
    <w:rsid w:val="00FC6AC8"/>
    <w:rsid w:val="00FE7FD0"/>
    <w:rsid w:val="0F4DBA69"/>
    <w:rsid w:val="145E8858"/>
    <w:rsid w:val="15DEF6C1"/>
    <w:rsid w:val="23BFC4E0"/>
    <w:rsid w:val="26FF30C3"/>
    <w:rsid w:val="33F82212"/>
    <w:rsid w:val="36CF1239"/>
    <w:rsid w:val="3BCC5619"/>
    <w:rsid w:val="3DF56D38"/>
    <w:rsid w:val="3EDFAB21"/>
    <w:rsid w:val="3FF3EA12"/>
    <w:rsid w:val="3FF57BFE"/>
    <w:rsid w:val="3FF7896F"/>
    <w:rsid w:val="5B3A810D"/>
    <w:rsid w:val="5B6F2264"/>
    <w:rsid w:val="5BE74344"/>
    <w:rsid w:val="5E124519"/>
    <w:rsid w:val="5FFB0FE6"/>
    <w:rsid w:val="665808E0"/>
    <w:rsid w:val="66FF7B5B"/>
    <w:rsid w:val="6EF71B10"/>
    <w:rsid w:val="6FBAFC8B"/>
    <w:rsid w:val="6FE79E9F"/>
    <w:rsid w:val="73D51ED7"/>
    <w:rsid w:val="73FF30C9"/>
    <w:rsid w:val="76EEEFD9"/>
    <w:rsid w:val="77B31758"/>
    <w:rsid w:val="77FF7A8C"/>
    <w:rsid w:val="7B6DC4D7"/>
    <w:rsid w:val="7BA76329"/>
    <w:rsid w:val="7BAB2C28"/>
    <w:rsid w:val="7BDF6D75"/>
    <w:rsid w:val="7BE7B942"/>
    <w:rsid w:val="7CFC9A6E"/>
    <w:rsid w:val="7DD7F0F1"/>
    <w:rsid w:val="7DDE09CD"/>
    <w:rsid w:val="7DFCA62F"/>
    <w:rsid w:val="7EF7CC4D"/>
    <w:rsid w:val="7F4D7EF6"/>
    <w:rsid w:val="7F9D5B69"/>
    <w:rsid w:val="7FE9932F"/>
    <w:rsid w:val="98A549C8"/>
    <w:rsid w:val="9BEAD5B4"/>
    <w:rsid w:val="9FF3C5DF"/>
    <w:rsid w:val="A169B1C1"/>
    <w:rsid w:val="B671E333"/>
    <w:rsid w:val="B6F53BEB"/>
    <w:rsid w:val="B74FDBEB"/>
    <w:rsid w:val="B7FB692C"/>
    <w:rsid w:val="BF7FFA7D"/>
    <w:rsid w:val="BFBF369F"/>
    <w:rsid w:val="CCEFC1D1"/>
    <w:rsid w:val="D35F3A09"/>
    <w:rsid w:val="D39A649A"/>
    <w:rsid w:val="DDF5E2C9"/>
    <w:rsid w:val="DEA70739"/>
    <w:rsid w:val="DEE5B7FC"/>
    <w:rsid w:val="DF67B9E8"/>
    <w:rsid w:val="E51F3EDC"/>
    <w:rsid w:val="E9FFBAB5"/>
    <w:rsid w:val="EBFD6316"/>
    <w:rsid w:val="EDFB2D48"/>
    <w:rsid w:val="EF2F22F0"/>
    <w:rsid w:val="EFDB432B"/>
    <w:rsid w:val="EFFB9DA1"/>
    <w:rsid w:val="F43B3DB8"/>
    <w:rsid w:val="F5FCC8BF"/>
    <w:rsid w:val="F79BEDA1"/>
    <w:rsid w:val="F7FDCE6B"/>
    <w:rsid w:val="FBBF4855"/>
    <w:rsid w:val="FBCF6D45"/>
    <w:rsid w:val="FBF9C8FE"/>
    <w:rsid w:val="FBFA5F0A"/>
    <w:rsid w:val="FDDBE1E0"/>
    <w:rsid w:val="FEFDB316"/>
    <w:rsid w:val="FF7F7512"/>
    <w:rsid w:val="FF9EAF0D"/>
    <w:rsid w:val="FFD06A6D"/>
    <w:rsid w:val="FFF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1"/>
      <w:szCs w:val="22"/>
      <w:lang w:val="en-US" w:eastAsia="zh-CN" w:bidi="ar-SA"/>
    </w:rPr>
  </w:style>
  <w:style w:type="paragraph" w:styleId="4">
    <w:name w:val="heading 1"/>
    <w:basedOn w:val="1"/>
    <w:next w:val="1"/>
    <w:link w:val="28"/>
    <w:qFormat/>
    <w:uiPriority w:val="0"/>
    <w:pPr>
      <w:adjustRightInd w:val="0"/>
      <w:snapToGrid w:val="0"/>
      <w:spacing w:line="560" w:lineRule="exact"/>
      <w:ind w:firstLine="640" w:firstLineChars="200"/>
      <w:outlineLvl w:val="0"/>
    </w:pPr>
    <w:rPr>
      <w:rFonts w:ascii="黑体" w:hAnsi="黑体" w:eastAsia="黑体"/>
      <w:bCs/>
      <w:color w:val="000000"/>
      <w:sz w:val="32"/>
      <w:szCs w:val="32"/>
    </w:rPr>
  </w:style>
  <w:style w:type="paragraph" w:styleId="5">
    <w:name w:val="heading 2"/>
    <w:basedOn w:val="1"/>
    <w:next w:val="1"/>
    <w:qFormat/>
    <w:uiPriority w:val="9"/>
    <w:pPr>
      <w:snapToGrid w:val="0"/>
      <w:spacing w:line="560" w:lineRule="exact"/>
      <w:ind w:firstLine="640" w:firstLineChars="200"/>
      <w:outlineLvl w:val="1"/>
    </w:pPr>
    <w:rPr>
      <w:rFonts w:ascii="楷体_GB2312" w:hAnsi="Times New Roman" w:eastAsia="楷体_GB2312"/>
      <w:sz w:val="32"/>
      <w:szCs w:val="32"/>
      <w:lang w:val="zh-CN"/>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6">
    <w:name w:val="Normal Indent"/>
    <w:basedOn w:val="1"/>
    <w:qFormat/>
    <w:uiPriority w:val="0"/>
    <w:pPr>
      <w:ind w:firstLine="420"/>
    </w:pPr>
    <w:rPr>
      <w:szCs w:val="20"/>
    </w:rPr>
  </w:style>
  <w:style w:type="paragraph" w:styleId="7">
    <w:name w:val="Body Text Indent"/>
    <w:basedOn w:val="1"/>
    <w:qFormat/>
    <w:uiPriority w:val="0"/>
    <w:pPr>
      <w:spacing w:after="120"/>
      <w:ind w:left="420" w:leftChars="200"/>
    </w:pPr>
  </w:style>
  <w:style w:type="paragraph" w:styleId="8">
    <w:name w:val="Plain Text"/>
    <w:basedOn w:val="1"/>
    <w:unhideWhenUsed/>
    <w:qFormat/>
    <w:uiPriority w:val="99"/>
    <w:rPr>
      <w:rFonts w:ascii="宋体" w:hAnsi="Courier New" w:eastAsia="宋体" w:cs="Courier New"/>
      <w:szCs w:val="21"/>
    </w:rPr>
  </w:style>
  <w:style w:type="paragraph" w:styleId="9">
    <w:name w:val="Balloon Text"/>
    <w:basedOn w:val="1"/>
    <w:link w:val="26"/>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Body Text First Indent 2"/>
    <w:basedOn w:val="7"/>
    <w:qFormat/>
    <w:uiPriority w:val="0"/>
    <w:pPr>
      <w:ind w:firstLine="420" w:firstLineChars="200"/>
    </w:p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0"/>
    <w:rPr>
      <w:b/>
      <w:bCs/>
    </w:rPr>
  </w:style>
  <w:style w:type="character" w:customStyle="1" w:styleId="17">
    <w:name w:val="正文2 字符"/>
    <w:link w:val="18"/>
    <w:qFormat/>
    <w:uiPriority w:val="0"/>
    <w:rPr>
      <w:rFonts w:ascii="Calibri" w:hAnsi="Calibri"/>
      <w:kern w:val="2"/>
      <w:sz w:val="21"/>
      <w:szCs w:val="22"/>
      <w:lang w:bidi="ar-SA"/>
    </w:rPr>
  </w:style>
  <w:style w:type="paragraph" w:customStyle="1" w:styleId="18">
    <w:name w:val="正文2"/>
    <w:next w:val="10"/>
    <w:link w:val="17"/>
    <w:qFormat/>
    <w:uiPriority w:val="0"/>
    <w:rPr>
      <w:rFonts w:ascii="Calibri" w:hAnsi="Calibri" w:eastAsia="仿宋_GB2312" w:cs="Times New Roman"/>
      <w:kern w:val="2"/>
      <w:sz w:val="21"/>
      <w:szCs w:val="22"/>
      <w:lang w:val="en-US" w:eastAsia="zh-CN" w:bidi="ar-SA"/>
    </w:rPr>
  </w:style>
  <w:style w:type="character" w:customStyle="1" w:styleId="19">
    <w:name w:val="AAA正文 Char"/>
    <w:basedOn w:val="20"/>
    <w:link w:val="22"/>
    <w:qFormat/>
    <w:uiPriority w:val="0"/>
    <w:rPr>
      <w:rFonts w:ascii="仿宋_GB2312" w:eastAsia="仿宋_GB2312"/>
      <w:sz w:val="32"/>
      <w:szCs w:val="32"/>
    </w:rPr>
  </w:style>
  <w:style w:type="character" w:customStyle="1" w:styleId="20">
    <w:name w:val="aaa正文 Char"/>
    <w:basedOn w:val="14"/>
    <w:link w:val="21"/>
    <w:qFormat/>
    <w:uiPriority w:val="0"/>
    <w:rPr>
      <w:rFonts w:ascii="仿宋_GB2312" w:eastAsia="仿宋_GB2312"/>
      <w:sz w:val="32"/>
      <w:szCs w:val="32"/>
    </w:rPr>
  </w:style>
  <w:style w:type="paragraph" w:customStyle="1" w:styleId="21">
    <w:name w:val="aaa正文"/>
    <w:basedOn w:val="1"/>
    <w:link w:val="20"/>
    <w:qFormat/>
    <w:uiPriority w:val="0"/>
    <w:pPr>
      <w:spacing w:line="560" w:lineRule="exact"/>
      <w:ind w:firstLine="640" w:firstLineChars="200"/>
    </w:pPr>
    <w:rPr>
      <w:rFonts w:ascii="仿宋_GB2312"/>
      <w:sz w:val="32"/>
      <w:szCs w:val="32"/>
    </w:rPr>
  </w:style>
  <w:style w:type="paragraph" w:customStyle="1" w:styleId="22">
    <w:name w:val="AAA正文"/>
    <w:basedOn w:val="21"/>
    <w:link w:val="19"/>
    <w:qFormat/>
    <w:uiPriority w:val="0"/>
  </w:style>
  <w:style w:type="character" w:customStyle="1" w:styleId="23">
    <w:name w:val="页脚 Char"/>
    <w:basedOn w:val="14"/>
    <w:link w:val="10"/>
    <w:qFormat/>
    <w:uiPriority w:val="99"/>
    <w:rPr>
      <w:sz w:val="18"/>
      <w:szCs w:val="18"/>
    </w:rPr>
  </w:style>
  <w:style w:type="character" w:customStyle="1" w:styleId="24">
    <w:name w:val="中关村正文 Char"/>
    <w:link w:val="25"/>
    <w:qFormat/>
    <w:uiPriority w:val="0"/>
    <w:rPr>
      <w:rFonts w:ascii="仿宋_GB2312" w:hAnsi="宋体" w:eastAsia="仿宋_GB2312" w:cs="宋体"/>
      <w:color w:val="000000"/>
      <w:sz w:val="32"/>
      <w:szCs w:val="32"/>
    </w:rPr>
  </w:style>
  <w:style w:type="paragraph" w:customStyle="1" w:styleId="25">
    <w:name w:val="中关村正文"/>
    <w:basedOn w:val="1"/>
    <w:link w:val="24"/>
    <w:qFormat/>
    <w:uiPriority w:val="0"/>
    <w:pPr>
      <w:adjustRightInd w:val="0"/>
      <w:snapToGrid w:val="0"/>
      <w:spacing w:line="560" w:lineRule="exact"/>
      <w:ind w:firstLine="200" w:firstLineChars="200"/>
    </w:pPr>
    <w:rPr>
      <w:rFonts w:ascii="仿宋_GB2312" w:hAnsi="宋体"/>
      <w:color w:val="000000"/>
      <w:kern w:val="0"/>
      <w:sz w:val="32"/>
      <w:szCs w:val="32"/>
    </w:rPr>
  </w:style>
  <w:style w:type="character" w:customStyle="1" w:styleId="26">
    <w:name w:val="批注框文本 Char"/>
    <w:basedOn w:val="14"/>
    <w:link w:val="9"/>
    <w:semiHidden/>
    <w:qFormat/>
    <w:uiPriority w:val="99"/>
    <w:rPr>
      <w:sz w:val="18"/>
      <w:szCs w:val="18"/>
    </w:rPr>
  </w:style>
  <w:style w:type="character" w:customStyle="1" w:styleId="27">
    <w:name w:val="NormalCharacter"/>
    <w:qFormat/>
    <w:uiPriority w:val="0"/>
  </w:style>
  <w:style w:type="character" w:customStyle="1" w:styleId="28">
    <w:name w:val="标题 1 Char"/>
    <w:basedOn w:val="14"/>
    <w:link w:val="4"/>
    <w:qFormat/>
    <w:uiPriority w:val="0"/>
    <w:rPr>
      <w:rFonts w:ascii="黑体" w:hAnsi="黑体" w:eastAsia="黑体" w:cs="Times New Roman"/>
      <w:bCs/>
      <w:color w:val="000000"/>
      <w:sz w:val="32"/>
      <w:szCs w:val="32"/>
    </w:rPr>
  </w:style>
  <w:style w:type="character" w:customStyle="1" w:styleId="29">
    <w:name w:val="页眉 Char"/>
    <w:basedOn w:val="14"/>
    <w:link w:val="12"/>
    <w:qFormat/>
    <w:uiPriority w:val="99"/>
    <w:rPr>
      <w:sz w:val="18"/>
      <w:szCs w:val="18"/>
    </w:rPr>
  </w:style>
  <w:style w:type="paragraph" w:customStyle="1" w:styleId="30">
    <w:name w:val="UserStyle_6"/>
    <w:basedOn w:val="1"/>
    <w:next w:val="31"/>
    <w:qFormat/>
    <w:uiPriority w:val="0"/>
    <w:pPr>
      <w:ind w:firstLine="420" w:firstLineChars="200"/>
    </w:pPr>
  </w:style>
  <w:style w:type="paragraph" w:customStyle="1" w:styleId="31">
    <w:name w:val="179"/>
    <w:basedOn w:val="1"/>
    <w:qFormat/>
    <w:uiPriority w:val="0"/>
    <w:pPr>
      <w:ind w:firstLine="420" w:firstLineChars="200"/>
    </w:pPr>
  </w:style>
  <w:style w:type="paragraph" w:customStyle="1" w:styleId="32">
    <w:name w:val="公文正文"/>
    <w:basedOn w:val="1"/>
    <w:qFormat/>
    <w:uiPriority w:val="0"/>
    <w:pPr>
      <w:spacing w:line="560" w:lineRule="exact"/>
      <w:ind w:firstLine="640" w:firstLineChars="200"/>
    </w:pPr>
    <w:rPr>
      <w:rFonts w:ascii="仿宋_GB2312"/>
      <w:sz w:val="32"/>
      <w:szCs w:val="32"/>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140</Words>
  <Characters>800</Characters>
  <Lines>6</Lines>
  <Paragraphs>1</Paragraphs>
  <TotalTime>0</TotalTime>
  <ScaleCrop>false</ScaleCrop>
  <LinksUpToDate>false</LinksUpToDate>
  <CharactersWithSpaces>939</CharactersWithSpaces>
  <Application>WPS Office_10.8.0.7285_F1E327BC-269C-435d-A152-05C5408002CA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2021-02-01T18:41:00Z</dcterms:created>
  <dc:creator>杜玲</dc:creator>
  <cp:lastModifiedBy>admin</cp:lastModifiedBy>
  <cp:lastPrinted>2021-02-01T17:52:00Z</cp:lastPrinted>
  <dcterms:modified xsi:type="dcterms:W3CDTF">2021-02-02T14:08:43Z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