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6DA87" w14:textId="77777777" w:rsidR="007B3293" w:rsidRPr="00E25E8E" w:rsidRDefault="00813B02" w:rsidP="006D1024">
      <w:pPr>
        <w:widowControl w:val="0"/>
        <w:spacing w:line="560" w:lineRule="exact"/>
        <w:jc w:val="center"/>
        <w:rPr>
          <w:rFonts w:ascii="方正小标宋简体" w:eastAsia="方正小标宋简体" w:hAnsi="方正小标宋简体"/>
          <w:bCs/>
          <w:sz w:val="44"/>
          <w:szCs w:val="44"/>
        </w:rPr>
      </w:pPr>
      <w:r w:rsidRPr="00E25E8E">
        <w:rPr>
          <w:rFonts w:ascii="方正小标宋简体" w:eastAsia="方正小标宋简体" w:hAnsi="方正小标宋简体"/>
          <w:bCs/>
          <w:sz w:val="44"/>
          <w:szCs w:val="44"/>
        </w:rPr>
        <w:t>关于《北京市科技新星计划经费使用“包干制”管理办法》起草说明</w:t>
      </w:r>
    </w:p>
    <w:p w14:paraId="50F6DA88" w14:textId="77777777" w:rsidR="007B3293" w:rsidRDefault="007B3293" w:rsidP="006D1024">
      <w:pPr>
        <w:widowControl w:val="0"/>
        <w:spacing w:line="560" w:lineRule="exact"/>
      </w:pPr>
    </w:p>
    <w:p w14:paraId="50F6DA89" w14:textId="77777777" w:rsidR="007B3293" w:rsidRDefault="00813B02" w:rsidP="006D1024">
      <w:pPr>
        <w:widowControl w:val="0"/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一、制定背景</w:t>
      </w:r>
    </w:p>
    <w:p w14:paraId="50F6DA8A" w14:textId="23FD079A" w:rsidR="007B3293" w:rsidRDefault="00813B02" w:rsidP="006D1024">
      <w:pPr>
        <w:widowControl w:val="0"/>
        <w:spacing w:line="560" w:lineRule="exact"/>
        <w:ind w:firstLineChars="200" w:firstLine="640"/>
        <w:jc w:val="both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/>
          <w:sz w:val="32"/>
          <w:szCs w:val="32"/>
        </w:rPr>
        <w:t>2019年《政府工作报告》中提出“开展项目经费使用‘包干制’改革试点，不设科目比例限制，由科研团队自主决定使用”。2021年8月，国务院办公厅印发《关于改革完善中央财政科研经费管理的若干意见》提出扩大经费包干制实施范围，在人才类和基础研究类科研项目中推行经费包干制。2022年2月，市科委、中关村管委会会同市财政局联合印发《北京市财政科研项目经费“包干制”试点工作方案》，对本市实行“包干制”试点工作予以明确</w:t>
      </w:r>
      <w:r>
        <w:rPr>
          <w:rFonts w:ascii="仿宋_GB2312" w:eastAsia="仿宋_GB2312" w:hAnsi="仿宋_GB2312" w:hint="eastAsia"/>
          <w:sz w:val="32"/>
          <w:szCs w:val="32"/>
        </w:rPr>
        <w:t>，</w:t>
      </w:r>
      <w:r>
        <w:rPr>
          <w:rFonts w:ascii="仿宋_GB2312" w:eastAsia="仿宋_GB2312" w:hAnsi="仿宋_GB2312"/>
          <w:sz w:val="32"/>
          <w:szCs w:val="32"/>
        </w:rPr>
        <w:t>将北京市科技新星计划</w:t>
      </w:r>
      <w:r w:rsidR="00EA5E22">
        <w:rPr>
          <w:rFonts w:ascii="仿宋_GB2312" w:eastAsia="仿宋_GB2312" w:hAnsi="仿宋_GB2312" w:hint="eastAsia"/>
          <w:sz w:val="32"/>
          <w:szCs w:val="32"/>
        </w:rPr>
        <w:t>（以下简称“新星计划”）</w:t>
      </w:r>
      <w:r>
        <w:rPr>
          <w:rFonts w:ascii="仿宋_GB2312" w:eastAsia="仿宋_GB2312" w:hAnsi="仿宋_GB2312"/>
          <w:sz w:val="32"/>
          <w:szCs w:val="32"/>
        </w:rPr>
        <w:t>支持的项目统一纳入试点。</w:t>
      </w:r>
    </w:p>
    <w:p w14:paraId="50F6DA8B" w14:textId="606E131C" w:rsidR="007B3293" w:rsidRDefault="00631780" w:rsidP="006D1024">
      <w:pPr>
        <w:widowControl w:val="0"/>
        <w:spacing w:line="560" w:lineRule="exact"/>
        <w:ind w:firstLineChars="200" w:firstLine="640"/>
        <w:jc w:val="both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新星计划经费</w:t>
      </w:r>
      <w:r>
        <w:rPr>
          <w:rFonts w:ascii="仿宋_GB2312" w:eastAsia="仿宋_GB2312" w:hint="eastAsia"/>
          <w:sz w:val="32"/>
          <w:szCs w:val="32"/>
        </w:rPr>
        <w:t>主要用于资助入选人员在培养期内开展应用基础研究、技术创新和成果转化等科研活动。</w:t>
      </w:r>
      <w:r w:rsidR="00010B33">
        <w:rPr>
          <w:rFonts w:ascii="仿宋_GB2312" w:eastAsia="仿宋_GB2312" w:hAnsi="仿宋_GB2312" w:hint="eastAsia"/>
          <w:sz w:val="32"/>
          <w:szCs w:val="32"/>
        </w:rPr>
        <w:t>按照</w:t>
      </w:r>
      <w:r w:rsidR="007D4610">
        <w:rPr>
          <w:rFonts w:ascii="仿宋_GB2312" w:eastAsia="仿宋_GB2312" w:hAnsi="仿宋_GB2312" w:hint="eastAsia"/>
          <w:sz w:val="32"/>
          <w:szCs w:val="32"/>
        </w:rPr>
        <w:t>“</w:t>
      </w:r>
      <w:r w:rsidR="00010B33">
        <w:rPr>
          <w:rFonts w:ascii="仿宋_GB2312" w:eastAsia="仿宋_GB2312" w:hint="eastAsia"/>
          <w:sz w:val="32"/>
          <w:szCs w:val="32"/>
        </w:rPr>
        <w:t>不再编制项目预算、实行经费负面清单管理、经费使用过程充分放权、建立结果导向评价机制、实施项目负责人承诺制</w:t>
      </w:r>
      <w:r w:rsidR="007D4610">
        <w:rPr>
          <w:rFonts w:ascii="仿宋_GB2312" w:eastAsia="仿宋_GB2312" w:hint="eastAsia"/>
          <w:sz w:val="32"/>
          <w:szCs w:val="32"/>
        </w:rPr>
        <w:t>”</w:t>
      </w:r>
      <w:r w:rsidR="00010B33">
        <w:rPr>
          <w:rFonts w:ascii="仿宋_GB2312" w:eastAsia="仿宋_GB2312" w:hint="eastAsia"/>
          <w:sz w:val="32"/>
          <w:szCs w:val="32"/>
        </w:rPr>
        <w:t>的原则，</w:t>
      </w:r>
      <w:r w:rsidR="00010B33">
        <w:rPr>
          <w:rFonts w:ascii="仿宋_GB2312" w:eastAsia="仿宋_GB2312" w:hAnsi="仿宋_GB2312" w:hint="eastAsia"/>
          <w:sz w:val="32"/>
          <w:szCs w:val="32"/>
        </w:rPr>
        <w:t>结合</w:t>
      </w:r>
      <w:r w:rsidR="00010B33">
        <w:rPr>
          <w:rFonts w:ascii="仿宋_GB2312" w:eastAsia="仿宋_GB2312" w:hAnsi="仿宋_GB2312"/>
          <w:sz w:val="32"/>
          <w:szCs w:val="32"/>
        </w:rPr>
        <w:t>《北京市科技新星计划管理办法（修订版）》</w:t>
      </w:r>
      <w:r w:rsidR="00010B33">
        <w:rPr>
          <w:rFonts w:ascii="仿宋_GB2312" w:eastAsia="仿宋_GB2312" w:hAnsi="仿宋_GB2312" w:hint="eastAsia"/>
          <w:sz w:val="32"/>
          <w:szCs w:val="32"/>
        </w:rPr>
        <w:t>，</w:t>
      </w:r>
      <w:r w:rsidR="00813B02">
        <w:rPr>
          <w:rFonts w:ascii="仿宋_GB2312" w:eastAsia="仿宋_GB2312" w:hAnsi="仿宋_GB2312" w:hint="eastAsia"/>
          <w:sz w:val="32"/>
          <w:szCs w:val="32"/>
        </w:rPr>
        <w:t>研究制定了</w:t>
      </w:r>
      <w:r w:rsidR="00813B02">
        <w:rPr>
          <w:rFonts w:ascii="仿宋_GB2312" w:eastAsia="仿宋_GB2312" w:hAnsi="仿宋_GB2312"/>
          <w:sz w:val="32"/>
          <w:szCs w:val="32"/>
        </w:rPr>
        <w:t>新星计划经费使用包干制管理办法</w:t>
      </w:r>
      <w:r w:rsidR="00813B02">
        <w:rPr>
          <w:rFonts w:ascii="仿宋_GB2312" w:eastAsia="仿宋_GB2312" w:hAnsi="仿宋_GB2312" w:hint="eastAsia"/>
          <w:sz w:val="32"/>
          <w:szCs w:val="32"/>
        </w:rPr>
        <w:t>，旨在</w:t>
      </w:r>
      <w:r w:rsidR="00813B02">
        <w:rPr>
          <w:rFonts w:ascii="仿宋_GB2312" w:eastAsia="仿宋_GB2312" w:hAnsi="仿宋_GB2312"/>
          <w:sz w:val="32"/>
          <w:szCs w:val="32"/>
        </w:rPr>
        <w:t>规范新星计划项目经费管理，进一步激发科研人员的创造性和创新活力，提升财政资金使用效果</w:t>
      </w:r>
      <w:r w:rsidR="00813B02">
        <w:rPr>
          <w:rFonts w:ascii="仿宋_GB2312" w:eastAsia="仿宋_GB2312" w:hAnsi="仿宋_GB2312" w:hint="eastAsia"/>
          <w:sz w:val="32"/>
          <w:szCs w:val="32"/>
        </w:rPr>
        <w:t>。</w:t>
      </w:r>
    </w:p>
    <w:p w14:paraId="50F6DA8C" w14:textId="77777777" w:rsidR="007B3293" w:rsidRDefault="00813B02" w:rsidP="006D1024">
      <w:pPr>
        <w:widowControl w:val="0"/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二、依据政策</w:t>
      </w:r>
    </w:p>
    <w:p w14:paraId="6B8E5F7C" w14:textId="77777777" w:rsidR="00E25E8E" w:rsidRDefault="00813B02" w:rsidP="006D1024">
      <w:pPr>
        <w:widowControl w:val="0"/>
        <w:spacing w:line="560" w:lineRule="exact"/>
        <w:ind w:firstLineChars="200" w:firstLine="64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/>
          <w:sz w:val="32"/>
          <w:szCs w:val="32"/>
        </w:rPr>
        <w:t>《关于改革完善中央财政科研经费管理的若干意见》</w:t>
      </w:r>
      <w:r>
        <w:rPr>
          <w:rFonts w:ascii="仿宋_GB2312" w:eastAsia="仿宋_GB2312" w:hAnsi="仿宋_GB2312" w:hint="eastAsia"/>
          <w:sz w:val="32"/>
          <w:szCs w:val="32"/>
        </w:rPr>
        <w:t>（</w:t>
      </w:r>
      <w:r>
        <w:rPr>
          <w:rFonts w:ascii="仿宋_GB2312" w:eastAsia="仿宋_GB2312" w:hAnsi="仿宋_GB2312"/>
          <w:sz w:val="32"/>
          <w:szCs w:val="32"/>
        </w:rPr>
        <w:t>国办</w:t>
      </w:r>
      <w:r>
        <w:rPr>
          <w:rFonts w:ascii="仿宋_GB2312" w:eastAsia="仿宋_GB2312" w:hAnsi="仿宋_GB2312"/>
          <w:sz w:val="32"/>
          <w:szCs w:val="32"/>
        </w:rPr>
        <w:lastRenderedPageBreak/>
        <w:t>发〔2021〕32 号</w:t>
      </w:r>
      <w:r>
        <w:rPr>
          <w:rFonts w:ascii="仿宋_GB2312" w:eastAsia="仿宋_GB2312" w:hAnsi="仿宋_GB2312" w:hint="eastAsia"/>
          <w:sz w:val="32"/>
          <w:szCs w:val="32"/>
        </w:rPr>
        <w:t>）、</w:t>
      </w:r>
      <w:r>
        <w:rPr>
          <w:rFonts w:ascii="仿宋_GB2312" w:eastAsia="仿宋_GB2312" w:hAnsi="仿宋_GB2312"/>
          <w:sz w:val="32"/>
          <w:szCs w:val="32"/>
        </w:rPr>
        <w:t>《北京市财政科研项目经费“包干制”试点工作方案》</w:t>
      </w:r>
      <w:r>
        <w:rPr>
          <w:rFonts w:ascii="仿宋_GB2312" w:eastAsia="仿宋_GB2312" w:hAnsi="仿宋_GB2312" w:hint="eastAsia"/>
          <w:sz w:val="32"/>
          <w:szCs w:val="32"/>
        </w:rPr>
        <w:t>（</w:t>
      </w:r>
      <w:r>
        <w:rPr>
          <w:rFonts w:ascii="仿宋_GB2312" w:eastAsia="仿宋_GB2312" w:hAnsi="仿宋_GB2312"/>
          <w:sz w:val="32"/>
          <w:szCs w:val="32"/>
        </w:rPr>
        <w:t>京科发〔2022〕1号</w:t>
      </w:r>
      <w:r>
        <w:rPr>
          <w:rFonts w:ascii="仿宋_GB2312" w:eastAsia="仿宋_GB2312" w:hAnsi="仿宋_GB2312" w:hint="eastAsia"/>
          <w:sz w:val="32"/>
          <w:szCs w:val="32"/>
        </w:rPr>
        <w:t>）、</w:t>
      </w:r>
      <w:r>
        <w:rPr>
          <w:rFonts w:ascii="仿宋_GB2312" w:eastAsia="仿宋_GB2312" w:hAnsi="仿宋_GB2312"/>
          <w:sz w:val="32"/>
          <w:szCs w:val="32"/>
        </w:rPr>
        <w:t>《北京市科技新星计划管理办法（修订版）》</w:t>
      </w:r>
      <w:r>
        <w:rPr>
          <w:rFonts w:ascii="仿宋_GB2312" w:eastAsia="仿宋_GB2312" w:hAnsi="仿宋_GB2312" w:hint="eastAsia"/>
          <w:sz w:val="32"/>
          <w:szCs w:val="32"/>
        </w:rPr>
        <w:t>（</w:t>
      </w:r>
      <w:r>
        <w:rPr>
          <w:rFonts w:ascii="仿宋_GB2312" w:eastAsia="仿宋_GB2312" w:hAnsi="仿宋_GB2312"/>
          <w:sz w:val="32"/>
          <w:szCs w:val="32"/>
        </w:rPr>
        <w:t>京科发〔2022〕10号</w:t>
      </w:r>
      <w:r>
        <w:rPr>
          <w:rFonts w:ascii="仿宋_GB2312" w:eastAsia="仿宋_GB2312" w:hAnsi="仿宋_GB2312" w:hint="eastAsia"/>
          <w:sz w:val="32"/>
          <w:szCs w:val="32"/>
        </w:rPr>
        <w:t>）。</w:t>
      </w:r>
    </w:p>
    <w:p w14:paraId="50F6DA8F" w14:textId="4482DE13" w:rsidR="007B3293" w:rsidRDefault="00010B33" w:rsidP="006D1024">
      <w:pPr>
        <w:widowControl w:val="0"/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</w:t>
      </w:r>
      <w:r w:rsidR="00813B02">
        <w:rPr>
          <w:rFonts w:ascii="黑体" w:eastAsia="黑体" w:hAnsi="黑体" w:hint="eastAsia"/>
          <w:sz w:val="32"/>
          <w:szCs w:val="32"/>
        </w:rPr>
        <w:t>主要内容</w:t>
      </w:r>
    </w:p>
    <w:p w14:paraId="50F6DA90" w14:textId="77777777" w:rsidR="007B3293" w:rsidRDefault="00813B02" w:rsidP="006D1024">
      <w:pPr>
        <w:widowControl w:val="0"/>
        <w:spacing w:line="560" w:lineRule="exact"/>
        <w:ind w:firstLineChars="200" w:firstLine="640"/>
        <w:jc w:val="both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本次起草的管理办法共分为五大章节共</w:t>
      </w:r>
      <w:r>
        <w:rPr>
          <w:rFonts w:ascii="仿宋_GB2312" w:eastAsia="仿宋_GB2312" w:hAnsi="仿宋_GB2312"/>
          <w:sz w:val="32"/>
          <w:szCs w:val="32"/>
        </w:rPr>
        <w:t>20个条款</w:t>
      </w:r>
      <w:r>
        <w:rPr>
          <w:rFonts w:ascii="仿宋_GB2312" w:eastAsia="仿宋_GB2312" w:hAnsi="仿宋_GB2312" w:hint="eastAsia"/>
          <w:sz w:val="32"/>
          <w:szCs w:val="32"/>
        </w:rPr>
        <w:t>，包括</w:t>
      </w:r>
      <w:r>
        <w:rPr>
          <w:rFonts w:ascii="仿宋_GB2312" w:eastAsia="仿宋_GB2312" w:hAnsi="仿宋_GB2312"/>
          <w:sz w:val="32"/>
          <w:szCs w:val="32"/>
        </w:rPr>
        <w:t>总则</w:t>
      </w:r>
      <w:r>
        <w:rPr>
          <w:rFonts w:ascii="仿宋_GB2312" w:eastAsia="仿宋_GB2312" w:hAnsi="仿宋_GB2312" w:hint="eastAsia"/>
          <w:sz w:val="32"/>
          <w:szCs w:val="32"/>
        </w:rPr>
        <w:t>、</w:t>
      </w:r>
      <w:r>
        <w:rPr>
          <w:rFonts w:ascii="仿宋_GB2312" w:eastAsia="仿宋_GB2312" w:hAnsi="仿宋_GB2312"/>
          <w:sz w:val="32"/>
          <w:szCs w:val="32"/>
        </w:rPr>
        <w:t>各方职责</w:t>
      </w:r>
      <w:r>
        <w:rPr>
          <w:rFonts w:ascii="仿宋_GB2312" w:eastAsia="仿宋_GB2312" w:hAnsi="仿宋_GB2312" w:hint="eastAsia"/>
          <w:sz w:val="32"/>
          <w:szCs w:val="32"/>
        </w:rPr>
        <w:t>、</w:t>
      </w:r>
      <w:r>
        <w:rPr>
          <w:rFonts w:ascii="仿宋_GB2312" w:eastAsia="仿宋_GB2312" w:hAnsi="仿宋_GB2312"/>
          <w:sz w:val="32"/>
          <w:szCs w:val="32"/>
        </w:rPr>
        <w:t>经费管理与使用</w:t>
      </w:r>
      <w:r>
        <w:rPr>
          <w:rFonts w:ascii="仿宋_GB2312" w:eastAsia="仿宋_GB2312" w:hAnsi="仿宋_GB2312" w:hint="eastAsia"/>
          <w:sz w:val="32"/>
          <w:szCs w:val="32"/>
        </w:rPr>
        <w:t>、</w:t>
      </w:r>
      <w:r>
        <w:rPr>
          <w:rFonts w:ascii="仿宋_GB2312" w:eastAsia="仿宋_GB2312" w:hAnsi="仿宋_GB2312"/>
          <w:sz w:val="32"/>
          <w:szCs w:val="32"/>
        </w:rPr>
        <w:t>经费监督检查</w:t>
      </w:r>
      <w:r>
        <w:rPr>
          <w:rFonts w:ascii="仿宋_GB2312" w:eastAsia="仿宋_GB2312" w:hAnsi="仿宋_GB2312" w:hint="eastAsia"/>
          <w:sz w:val="32"/>
          <w:szCs w:val="32"/>
        </w:rPr>
        <w:t>等，主要内容如下：</w:t>
      </w:r>
    </w:p>
    <w:p w14:paraId="50F6DA91" w14:textId="77777777" w:rsidR="007B3293" w:rsidRDefault="00813B02" w:rsidP="006D1024">
      <w:pPr>
        <w:pStyle w:val="a7"/>
        <w:shd w:val="clear" w:color="auto" w:fill="FFFFFF"/>
        <w:spacing w:beforeAutospacing="0" w:afterAutospacing="0" w:line="560" w:lineRule="exact"/>
        <w:ind w:firstLineChars="200" w:firstLine="640"/>
        <w:jc w:val="both"/>
        <w:rPr>
          <w:rFonts w:ascii="楷体_GB2312" w:eastAsia="楷体_GB2312" w:hAnsi="楷体_GB2312"/>
          <w:sz w:val="32"/>
          <w:szCs w:val="32"/>
        </w:rPr>
      </w:pPr>
      <w:r>
        <w:rPr>
          <w:rFonts w:ascii="楷体_GB2312" w:eastAsia="楷体_GB2312" w:hAnsi="楷体_GB2312" w:hint="eastAsia"/>
          <w:sz w:val="32"/>
          <w:szCs w:val="32"/>
        </w:rPr>
        <w:t>（一）坚持充分放权，确保放得下是基础</w:t>
      </w:r>
    </w:p>
    <w:p w14:paraId="50F6DA92" w14:textId="77777777" w:rsidR="007B3293" w:rsidRDefault="00813B02" w:rsidP="006D1024">
      <w:pPr>
        <w:pStyle w:val="a7"/>
        <w:shd w:val="clear" w:color="auto" w:fill="FFFFFF"/>
        <w:spacing w:beforeAutospacing="0" w:afterAutospacing="0" w:line="560" w:lineRule="exact"/>
        <w:ind w:firstLineChars="200" w:firstLine="643"/>
        <w:jc w:val="both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hint="eastAsia"/>
          <w:b/>
          <w:bCs/>
          <w:sz w:val="32"/>
          <w:szCs w:val="32"/>
        </w:rPr>
        <w:t>一是赋予更多自主权。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经费使用过程充分放权。依托单位和项目负责人在不违反“负面清单”前提下，可根据实际需要自主决定、统筹使用与科研项目相关支出。</w:t>
      </w:r>
    </w:p>
    <w:p w14:paraId="50F6DA93" w14:textId="77777777" w:rsidR="007B3293" w:rsidRDefault="00813B02" w:rsidP="006D1024">
      <w:pPr>
        <w:pStyle w:val="a7"/>
        <w:shd w:val="clear" w:color="auto" w:fill="FFFFFF"/>
        <w:spacing w:beforeAutospacing="0" w:afterAutospacing="0" w:line="560" w:lineRule="exact"/>
        <w:ind w:firstLineChars="200" w:firstLine="643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_GB2312" w:hint="eastAsia"/>
          <w:b/>
          <w:bCs/>
          <w:sz w:val="32"/>
          <w:szCs w:val="32"/>
        </w:rPr>
        <w:t>二是不再要求编制项目预算。</w:t>
      </w:r>
      <w:r>
        <w:rPr>
          <w:rFonts w:ascii="仿宋_GB2312" w:eastAsia="仿宋_GB2312" w:hint="eastAsia"/>
          <w:sz w:val="32"/>
          <w:szCs w:val="32"/>
        </w:rPr>
        <w:t>项目经费采取定额方式资助，无需提供经费预算说明。</w:t>
      </w:r>
    </w:p>
    <w:p w14:paraId="50F6DA94" w14:textId="77777777" w:rsidR="007B3293" w:rsidRDefault="00813B02" w:rsidP="006D1024">
      <w:pPr>
        <w:pStyle w:val="a7"/>
        <w:shd w:val="clear" w:color="auto" w:fill="FFFFFF"/>
        <w:spacing w:beforeAutospacing="0" w:afterAutospacing="0" w:line="560" w:lineRule="exact"/>
        <w:ind w:firstLineChars="200" w:firstLine="643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三是</w:t>
      </w:r>
      <w:r>
        <w:rPr>
          <w:rFonts w:ascii="仿宋_GB2312" w:eastAsia="仿宋_GB2312" w:hAnsi="仿宋_GB2312" w:hint="eastAsia"/>
          <w:b/>
          <w:bCs/>
          <w:sz w:val="32"/>
          <w:szCs w:val="32"/>
        </w:rPr>
        <w:t>明确经费支出范围及要求。</w:t>
      </w:r>
      <w:r>
        <w:rPr>
          <w:rFonts w:ascii="仿宋_GB2312" w:eastAsia="仿宋_GB2312" w:hint="eastAsia"/>
          <w:sz w:val="32"/>
          <w:szCs w:val="32"/>
        </w:rPr>
        <w:t>限于与科研活动相关的</w:t>
      </w:r>
      <w:r>
        <w:rPr>
          <w:rFonts w:ascii="仿宋_GB2312" w:eastAsia="仿宋_GB2312" w:hAnsi="仿宋_GB2312" w:cs="仿宋_GB2312" w:hint="eastAsia"/>
          <w:sz w:val="32"/>
          <w:szCs w:val="32"/>
        </w:rPr>
        <w:t>设备费、业务费、劳务费以及绩效支出及管理费。其中，绩效支出由项目负责人根据实际科研需要自主确定。管理费由依托单位根据实际管理支出情况与项目负责人协商确定，不得超过项目总经费的2%。</w:t>
      </w:r>
    </w:p>
    <w:p w14:paraId="20918983" w14:textId="77777777" w:rsidR="00474965" w:rsidRDefault="00813B02" w:rsidP="006D1024">
      <w:pPr>
        <w:widowControl w:val="0"/>
        <w:spacing w:line="560" w:lineRule="exact"/>
        <w:ind w:firstLineChars="200" w:firstLine="640"/>
        <w:jc w:val="both"/>
        <w:rPr>
          <w:rFonts w:ascii="楷体_GB2312" w:eastAsia="楷体_GB2312" w:hAnsi="楷体_GB2312"/>
          <w:sz w:val="32"/>
          <w:szCs w:val="32"/>
        </w:rPr>
      </w:pPr>
      <w:r>
        <w:rPr>
          <w:rFonts w:ascii="楷体_GB2312" w:eastAsia="楷体_GB2312" w:hAnsi="楷体_GB2312" w:hint="eastAsia"/>
          <w:sz w:val="32"/>
          <w:szCs w:val="32"/>
        </w:rPr>
        <w:t>（二）注重规范管理，确保管得住是前提</w:t>
      </w:r>
    </w:p>
    <w:p w14:paraId="50F6DA96" w14:textId="6F155602" w:rsidR="007B3293" w:rsidRPr="00474965" w:rsidRDefault="00813B02" w:rsidP="006D1024">
      <w:pPr>
        <w:widowControl w:val="0"/>
        <w:spacing w:line="560" w:lineRule="exact"/>
        <w:ind w:firstLineChars="200" w:firstLine="643"/>
        <w:jc w:val="both"/>
        <w:rPr>
          <w:rFonts w:ascii="楷体_GB2312" w:eastAsia="楷体_GB2312" w:hAnsi="楷体_GB2312"/>
          <w:sz w:val="32"/>
          <w:szCs w:val="32"/>
        </w:rPr>
      </w:pPr>
      <w:r>
        <w:rPr>
          <w:rFonts w:ascii="仿宋_GB2312" w:eastAsia="仿宋_GB2312" w:hAnsi="仿宋_GB2312" w:hint="eastAsia"/>
          <w:b/>
          <w:bCs/>
          <w:sz w:val="32"/>
          <w:szCs w:val="32"/>
        </w:rPr>
        <w:t>一是引入负面清单管理。</w:t>
      </w:r>
      <w:r>
        <w:rPr>
          <w:rFonts w:ascii="仿宋_GB2312" w:eastAsia="仿宋_GB2312" w:hAnsi="仿宋_GB2312" w:hint="eastAsia"/>
          <w:sz w:val="32"/>
          <w:szCs w:val="32"/>
        </w:rPr>
        <w:t>列举了项目经费管理使用中的相关禁止性行为，明确不得用于捐赠、投资、赞助、罚款及支付在职人员学历性教育经费等支出，</w:t>
      </w:r>
      <w:r>
        <w:rPr>
          <w:rFonts w:ascii="仿宋_GB2312" w:eastAsia="仿宋_GB2312" w:hint="eastAsia"/>
          <w:sz w:val="32"/>
          <w:szCs w:val="32"/>
        </w:rPr>
        <w:t>不得用于与研究无关的支出等。</w:t>
      </w:r>
    </w:p>
    <w:p w14:paraId="50F6DA97" w14:textId="77777777" w:rsidR="007B3293" w:rsidRDefault="00813B02" w:rsidP="006D1024">
      <w:pPr>
        <w:widowControl w:val="0"/>
        <w:spacing w:line="560" w:lineRule="exact"/>
        <w:ind w:firstLineChars="200" w:firstLine="643"/>
        <w:jc w:val="both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b/>
          <w:bCs/>
          <w:sz w:val="32"/>
          <w:szCs w:val="32"/>
        </w:rPr>
        <w:lastRenderedPageBreak/>
        <w:t>二是实施备案及承诺制。</w:t>
      </w:r>
      <w:r>
        <w:rPr>
          <w:rFonts w:ascii="仿宋_GB2312" w:eastAsia="仿宋_GB2312" w:hAnsi="仿宋_GB2312" w:hint="eastAsia"/>
          <w:sz w:val="32"/>
          <w:szCs w:val="32"/>
        </w:rPr>
        <w:t>强化依托单位和入选人员的自我监督，要求依托单位制定并完善相关</w:t>
      </w:r>
      <w:r>
        <w:rPr>
          <w:rFonts w:ascii="仿宋_GB2312" w:eastAsia="仿宋_GB2312" w:hAnsi="仿宋_GB2312"/>
          <w:sz w:val="32"/>
          <w:szCs w:val="32"/>
        </w:rPr>
        <w:t>科研和“包干制”经费管理制度</w:t>
      </w:r>
      <w:r>
        <w:rPr>
          <w:rFonts w:ascii="仿宋_GB2312" w:eastAsia="仿宋_GB2312" w:hAnsi="仿宋_GB2312" w:hint="eastAsia"/>
          <w:sz w:val="32"/>
          <w:szCs w:val="32"/>
        </w:rPr>
        <w:t>并备案；</w:t>
      </w:r>
      <w:r>
        <w:rPr>
          <w:rFonts w:ascii="仿宋_GB2312" w:eastAsia="仿宋_GB2312" w:hAnsi="仿宋_GB2312" w:cs="方正仿宋_GB2312" w:hint="eastAsia"/>
          <w:sz w:val="32"/>
          <w:szCs w:val="32"/>
        </w:rPr>
        <w:t>入选人员作为项目第一责任人需签署承诺书，</w:t>
      </w:r>
      <w:r>
        <w:rPr>
          <w:rFonts w:ascii="仿宋_GB2312" w:eastAsia="仿宋_GB2312" w:hAnsi="仿宋_GB2312" w:hint="eastAsia"/>
          <w:sz w:val="32"/>
          <w:szCs w:val="32"/>
        </w:rPr>
        <w:t>代表研究团队承诺遵守科研伦理道德和作风学风、科研诚信要求、经费全部用于本项目研究工作。</w:t>
      </w:r>
    </w:p>
    <w:p w14:paraId="50F6DA98" w14:textId="77777777" w:rsidR="007B3293" w:rsidRDefault="00813B02" w:rsidP="006D1024">
      <w:pPr>
        <w:widowControl w:val="0"/>
        <w:spacing w:line="560" w:lineRule="exact"/>
        <w:ind w:firstLineChars="200" w:firstLine="643"/>
        <w:jc w:val="both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b/>
          <w:bCs/>
          <w:sz w:val="32"/>
          <w:szCs w:val="32"/>
        </w:rPr>
        <w:t>三是纳入信用监管体系。</w:t>
      </w:r>
      <w:r>
        <w:rPr>
          <w:rFonts w:ascii="仿宋_GB2312" w:eastAsia="仿宋_GB2312" w:hAnsi="仿宋_GB2312" w:hint="eastAsia"/>
          <w:sz w:val="32"/>
          <w:szCs w:val="32"/>
        </w:rPr>
        <w:t>对依托单位和入选人员在项目申报、实施、验收以及履行经费管理等方面的信用，进行评价和记录，纳入北京市科技计划管理相关责任主体信用系统统一管理。</w:t>
      </w:r>
    </w:p>
    <w:p w14:paraId="50F6DA99" w14:textId="77777777" w:rsidR="007B3293" w:rsidRDefault="00813B02" w:rsidP="006D1024">
      <w:pPr>
        <w:widowControl w:val="0"/>
        <w:spacing w:line="560" w:lineRule="exact"/>
        <w:ind w:firstLineChars="200" w:firstLine="643"/>
        <w:jc w:val="both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b/>
          <w:bCs/>
          <w:sz w:val="32"/>
          <w:szCs w:val="32"/>
        </w:rPr>
        <w:t>四是建立相应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惩戒机制。</w:t>
      </w:r>
      <w:r>
        <w:rPr>
          <w:rFonts w:ascii="仿宋_GB2312" w:eastAsia="仿宋_GB2312" w:hAnsi="仿宋_GB2312" w:cs="仿宋_GB2312" w:hint="eastAsia"/>
          <w:sz w:val="32"/>
          <w:szCs w:val="32"/>
        </w:rPr>
        <w:t>对于涉及“负面清单”的行为，视情节轻重予以相应惩戒，包括暂停项目拨款、终止项目执行、取消依托单位及入选人员</w:t>
      </w:r>
      <w:r>
        <w:rPr>
          <w:rFonts w:ascii="仿宋_GB2312" w:eastAsia="仿宋_GB2312" w:hAnsi="仿宋_GB2312" w:cs="仿宋_GB2312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—</w:t>
      </w:r>
      <w:r>
        <w:rPr>
          <w:rFonts w:ascii="仿宋_GB2312" w:eastAsia="仿宋_GB2312" w:hAnsi="仿宋_GB2312" w:cs="仿宋_GB2312"/>
          <w:sz w:val="32"/>
          <w:szCs w:val="32"/>
        </w:rPr>
        <w:t>5年项目申报资格</w:t>
      </w:r>
      <w:r>
        <w:rPr>
          <w:rFonts w:ascii="仿宋_GB2312" w:eastAsia="仿宋_GB2312" w:hAnsi="仿宋_GB2312" w:cs="仿宋_GB2312" w:hint="eastAsia"/>
          <w:sz w:val="32"/>
          <w:szCs w:val="32"/>
        </w:rPr>
        <w:t>直至永久取消申报资格</w:t>
      </w:r>
      <w:r>
        <w:rPr>
          <w:rFonts w:ascii="仿宋_GB2312" w:eastAsia="仿宋_GB2312" w:hAnsi="仿宋_GB2312" w:cs="仿宋_GB2312"/>
          <w:sz w:val="32"/>
          <w:szCs w:val="32"/>
        </w:rPr>
        <w:t>等措施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50F6DA9A" w14:textId="77777777" w:rsidR="007B3293" w:rsidRDefault="00813B02" w:rsidP="006D1024">
      <w:pPr>
        <w:pStyle w:val="a7"/>
        <w:shd w:val="clear" w:color="auto" w:fill="FFFFFF"/>
        <w:spacing w:beforeAutospacing="0" w:afterAutospacing="0" w:line="560" w:lineRule="exact"/>
        <w:ind w:firstLineChars="200" w:firstLine="640"/>
        <w:jc w:val="both"/>
        <w:rPr>
          <w:rFonts w:ascii="楷体_GB2312" w:eastAsia="楷体_GB2312" w:hAnsi="楷体_GB2312"/>
          <w:sz w:val="32"/>
          <w:szCs w:val="32"/>
        </w:rPr>
      </w:pPr>
      <w:r>
        <w:rPr>
          <w:rFonts w:ascii="楷体_GB2312" w:eastAsia="楷体_GB2312" w:hAnsi="楷体_GB2312" w:hint="eastAsia"/>
          <w:sz w:val="32"/>
          <w:szCs w:val="32"/>
        </w:rPr>
        <w:t>（三）强化绩效导向，确保用得好是目标</w:t>
      </w:r>
    </w:p>
    <w:p w14:paraId="50F6DA9B" w14:textId="77777777" w:rsidR="007B3293" w:rsidRDefault="00813B02" w:rsidP="006D1024">
      <w:pPr>
        <w:pStyle w:val="a7"/>
        <w:shd w:val="clear" w:color="auto" w:fill="FFFFFF"/>
        <w:spacing w:beforeAutospacing="0" w:afterAutospacing="0" w:line="560" w:lineRule="exact"/>
        <w:ind w:firstLineChars="200" w:firstLine="643"/>
        <w:jc w:val="both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b/>
          <w:bCs/>
          <w:sz w:val="32"/>
          <w:szCs w:val="32"/>
        </w:rPr>
        <w:t>一是明晰经费具体用途。</w:t>
      </w:r>
      <w:r>
        <w:rPr>
          <w:rFonts w:ascii="仿宋_GB2312" w:eastAsia="仿宋_GB2312" w:hAnsi="仿宋_GB2312" w:hint="eastAsia"/>
          <w:sz w:val="32"/>
          <w:szCs w:val="32"/>
        </w:rPr>
        <w:t>强调主要用于资助入选人员在培养期内开展</w:t>
      </w:r>
      <w:r>
        <w:rPr>
          <w:rFonts w:ascii="仿宋_GB2312" w:eastAsia="仿宋_GB2312" w:hAnsi="仿宋_GB2312" w:cs="仿宋_GB2312" w:hint="eastAsia"/>
          <w:sz w:val="32"/>
          <w:szCs w:val="32"/>
        </w:rPr>
        <w:t>前沿科技攻关、跨学科跨领域交叉合作和科技成果转化等工作</w:t>
      </w:r>
      <w:r>
        <w:rPr>
          <w:rFonts w:ascii="仿宋_GB2312" w:eastAsia="仿宋_GB2312" w:hAnsi="仿宋_GB2312" w:hint="eastAsia"/>
          <w:sz w:val="32"/>
          <w:szCs w:val="32"/>
        </w:rPr>
        <w:t>，确保财政资金用到“刀刃”上。</w:t>
      </w:r>
    </w:p>
    <w:p w14:paraId="50F6DA9C" w14:textId="77777777" w:rsidR="007B3293" w:rsidRDefault="00813B02" w:rsidP="006D1024">
      <w:pPr>
        <w:pStyle w:val="a7"/>
        <w:shd w:val="clear" w:color="auto" w:fill="FFFFFF"/>
        <w:spacing w:beforeAutospacing="0" w:afterAutospacing="0" w:line="560" w:lineRule="exact"/>
        <w:ind w:firstLineChars="200" w:firstLine="643"/>
        <w:jc w:val="both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b/>
          <w:bCs/>
          <w:sz w:val="32"/>
          <w:szCs w:val="32"/>
        </w:rPr>
        <w:t>二是建立结果导向评价机制。</w:t>
      </w:r>
      <w:r>
        <w:rPr>
          <w:rFonts w:ascii="仿宋_GB2312" w:eastAsia="仿宋_GB2312" w:hAnsi="仿宋_GB2312" w:hint="eastAsia"/>
          <w:sz w:val="32"/>
          <w:szCs w:val="32"/>
        </w:rPr>
        <w:t>对实施期满后的科研项目开展综合绩效评价，重点考察代表性成果、实施效果以及完成度。评价结果作为经费调整、后续支持的重要依据。</w:t>
      </w:r>
    </w:p>
    <w:p w14:paraId="50F6DA9D" w14:textId="77777777" w:rsidR="007B3293" w:rsidRDefault="00813B02" w:rsidP="006D1024">
      <w:pPr>
        <w:pStyle w:val="a7"/>
        <w:shd w:val="clear" w:color="auto" w:fill="FFFFFF"/>
        <w:spacing w:beforeAutospacing="0" w:afterAutospacing="0" w:line="560" w:lineRule="exact"/>
        <w:ind w:firstLineChars="200" w:firstLine="643"/>
        <w:jc w:val="both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仿宋_GB2312" w:hint="eastAsia"/>
          <w:b/>
          <w:bCs/>
          <w:sz w:val="32"/>
          <w:szCs w:val="32"/>
        </w:rPr>
        <w:t>三是</w:t>
      </w:r>
      <w:r>
        <w:rPr>
          <w:rFonts w:ascii="仿宋_GB2312" w:eastAsia="仿宋_GB2312" w:hAnsi="仿宋_GB2312"/>
          <w:b/>
          <w:bCs/>
          <w:sz w:val="32"/>
          <w:szCs w:val="32"/>
        </w:rPr>
        <w:t>健全结余资金盘活机制</w:t>
      </w:r>
      <w:r>
        <w:rPr>
          <w:rFonts w:ascii="仿宋_GB2312" w:eastAsia="仿宋_GB2312" w:hAnsi="仿宋_GB2312" w:hint="eastAsia"/>
          <w:b/>
          <w:bCs/>
          <w:sz w:val="32"/>
          <w:szCs w:val="32"/>
        </w:rPr>
        <w:t>。</w:t>
      </w:r>
      <w:r>
        <w:rPr>
          <w:rFonts w:ascii="仿宋_GB2312" w:eastAsia="仿宋_GB2312" w:hAnsi="宋体" w:cs="宋体" w:hint="eastAsia"/>
          <w:sz w:val="32"/>
          <w:szCs w:val="32"/>
        </w:rPr>
        <w:t>对于按要求完成项目目标并通过验收的，结余资金留归依托单位使用。依托单位要将结余资金统筹用于科研活动直接支出，优先考虑原项目团队科研需求。</w:t>
      </w:r>
    </w:p>
    <w:sectPr w:rsidR="007B3293" w:rsidSect="00BC02B2">
      <w:footerReference w:type="even" r:id="rId6"/>
      <w:footerReference w:type="default" r:id="rId7"/>
      <w:pgSz w:w="11906" w:h="16838"/>
      <w:pgMar w:top="2098" w:right="1474" w:bottom="1985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46889" w14:textId="77777777" w:rsidR="000C35B1" w:rsidRDefault="000C35B1">
      <w:r>
        <w:separator/>
      </w:r>
    </w:p>
  </w:endnote>
  <w:endnote w:type="continuationSeparator" w:id="0">
    <w:p w14:paraId="4762F96A" w14:textId="77777777" w:rsidR="000C35B1" w:rsidRDefault="000C3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黑体"/>
    <w:panose1 w:val="02010601030101010101"/>
    <w:charset w:val="86"/>
    <w:family w:val="script"/>
    <w:pitch w:val="variable"/>
    <w:sig w:usb0="00000003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方正仿宋_GB2312">
    <w:altName w:val="仿宋"/>
    <w:panose1 w:val="020B0604020202020204"/>
    <w:charset w:val="86"/>
    <w:family w:val="auto"/>
    <w:pitch w:val="default"/>
    <w:sig w:usb0="00000000" w:usb1="00000000" w:usb2="00000000" w:usb3="00000000" w:csb0="0006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8"/>
      </w:rPr>
      <w:id w:val="-1785725535"/>
      <w:docPartObj>
        <w:docPartGallery w:val="AutoText"/>
      </w:docPartObj>
    </w:sdtPr>
    <w:sdtContent>
      <w:p w14:paraId="50F6DAA2" w14:textId="77777777" w:rsidR="007B3293" w:rsidRDefault="00D810E0">
        <w:pPr>
          <w:pStyle w:val="a3"/>
          <w:framePr w:wrap="auto" w:vAnchor="text" w:hAnchor="margin" w:xAlign="center" w:y="1"/>
          <w:rPr>
            <w:rStyle w:val="a8"/>
          </w:rPr>
        </w:pPr>
        <w:r>
          <w:rPr>
            <w:rStyle w:val="a8"/>
          </w:rPr>
          <w:fldChar w:fldCharType="begin"/>
        </w:r>
        <w:r w:rsidR="00813B02">
          <w:rPr>
            <w:rStyle w:val="a8"/>
          </w:rPr>
          <w:instrText xml:space="preserve"> PAGE </w:instrText>
        </w:r>
        <w:r>
          <w:rPr>
            <w:rStyle w:val="a8"/>
          </w:rPr>
          <w:fldChar w:fldCharType="end"/>
        </w:r>
      </w:p>
    </w:sdtContent>
  </w:sdt>
  <w:p w14:paraId="50F6DAA3" w14:textId="77777777" w:rsidR="007B3293" w:rsidRDefault="007B3293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8"/>
        <w:rFonts w:ascii="宋体" w:eastAsia="宋体" w:hAnsi="宋体"/>
        <w:sz w:val="28"/>
        <w:szCs w:val="28"/>
      </w:rPr>
      <w:id w:val="-614906386"/>
      <w:docPartObj>
        <w:docPartGallery w:val="AutoText"/>
      </w:docPartObj>
    </w:sdtPr>
    <w:sdtContent>
      <w:p w14:paraId="50F6DAA4" w14:textId="77777777" w:rsidR="007B3293" w:rsidRDefault="00D810E0">
        <w:pPr>
          <w:pStyle w:val="a3"/>
          <w:framePr w:wrap="auto" w:vAnchor="text" w:hAnchor="margin" w:xAlign="center" w:y="1"/>
          <w:rPr>
            <w:rStyle w:val="a8"/>
            <w:rFonts w:ascii="宋体" w:eastAsia="宋体" w:hAnsi="宋体"/>
            <w:sz w:val="28"/>
            <w:szCs w:val="28"/>
          </w:rPr>
        </w:pPr>
        <w:r>
          <w:rPr>
            <w:rStyle w:val="a8"/>
            <w:rFonts w:ascii="宋体" w:eastAsia="宋体" w:hAnsi="宋体"/>
            <w:sz w:val="28"/>
            <w:szCs w:val="28"/>
          </w:rPr>
          <w:fldChar w:fldCharType="begin"/>
        </w:r>
        <w:r w:rsidR="00813B02">
          <w:rPr>
            <w:rStyle w:val="a8"/>
            <w:rFonts w:ascii="宋体" w:eastAsia="宋体" w:hAnsi="宋体"/>
            <w:sz w:val="28"/>
            <w:szCs w:val="28"/>
          </w:rPr>
          <w:instrText xml:space="preserve"> PAGE </w:instrText>
        </w:r>
        <w:r>
          <w:rPr>
            <w:rStyle w:val="a8"/>
            <w:rFonts w:ascii="宋体" w:eastAsia="宋体" w:hAnsi="宋体"/>
            <w:sz w:val="28"/>
            <w:szCs w:val="28"/>
          </w:rPr>
          <w:fldChar w:fldCharType="separate"/>
        </w:r>
        <w:r w:rsidR="00BD6263">
          <w:rPr>
            <w:rStyle w:val="a8"/>
            <w:rFonts w:ascii="宋体" w:eastAsia="宋体" w:hAnsi="宋体"/>
            <w:noProof/>
            <w:sz w:val="28"/>
            <w:szCs w:val="28"/>
          </w:rPr>
          <w:t>- 2 -</w:t>
        </w:r>
        <w:r>
          <w:rPr>
            <w:rStyle w:val="a8"/>
            <w:rFonts w:ascii="宋体" w:eastAsia="宋体" w:hAnsi="宋体"/>
            <w:sz w:val="28"/>
            <w:szCs w:val="28"/>
          </w:rPr>
          <w:fldChar w:fldCharType="end"/>
        </w:r>
      </w:p>
    </w:sdtContent>
  </w:sdt>
  <w:p w14:paraId="50F6DAA5" w14:textId="77777777" w:rsidR="007B3293" w:rsidRDefault="007B329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6DB97" w14:textId="77777777" w:rsidR="000C35B1" w:rsidRDefault="000C35B1">
      <w:r>
        <w:separator/>
      </w:r>
    </w:p>
  </w:footnote>
  <w:footnote w:type="continuationSeparator" w:id="0">
    <w:p w14:paraId="13A7789F" w14:textId="77777777" w:rsidR="000C35B1" w:rsidRDefault="000C35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62E6"/>
    <w:rsid w:val="DECBE041"/>
    <w:rsid w:val="0000462B"/>
    <w:rsid w:val="000053C3"/>
    <w:rsid w:val="00010B33"/>
    <w:rsid w:val="000271DE"/>
    <w:rsid w:val="00065BC3"/>
    <w:rsid w:val="00085EBC"/>
    <w:rsid w:val="000920C4"/>
    <w:rsid w:val="000C35B1"/>
    <w:rsid w:val="000C3873"/>
    <w:rsid w:val="000E61BA"/>
    <w:rsid w:val="001440DF"/>
    <w:rsid w:val="0016097D"/>
    <w:rsid w:val="001653A5"/>
    <w:rsid w:val="001D6F99"/>
    <w:rsid w:val="002026FE"/>
    <w:rsid w:val="002103D9"/>
    <w:rsid w:val="00246120"/>
    <w:rsid w:val="00272708"/>
    <w:rsid w:val="002A3A5C"/>
    <w:rsid w:val="002C272B"/>
    <w:rsid w:val="002C62E2"/>
    <w:rsid w:val="00303F70"/>
    <w:rsid w:val="003061D3"/>
    <w:rsid w:val="00382104"/>
    <w:rsid w:val="0039288C"/>
    <w:rsid w:val="003B2A90"/>
    <w:rsid w:val="003F756A"/>
    <w:rsid w:val="00411D5A"/>
    <w:rsid w:val="004202E7"/>
    <w:rsid w:val="004217A7"/>
    <w:rsid w:val="00451134"/>
    <w:rsid w:val="00474965"/>
    <w:rsid w:val="004A32BE"/>
    <w:rsid w:val="004C123B"/>
    <w:rsid w:val="004F1BF3"/>
    <w:rsid w:val="00510185"/>
    <w:rsid w:val="00520237"/>
    <w:rsid w:val="0052049C"/>
    <w:rsid w:val="00540B0A"/>
    <w:rsid w:val="0056032C"/>
    <w:rsid w:val="005631F7"/>
    <w:rsid w:val="005A0EBE"/>
    <w:rsid w:val="005A3F9C"/>
    <w:rsid w:val="005C47ED"/>
    <w:rsid w:val="005D0C94"/>
    <w:rsid w:val="005E492F"/>
    <w:rsid w:val="005E7A5F"/>
    <w:rsid w:val="005F342F"/>
    <w:rsid w:val="006177EF"/>
    <w:rsid w:val="0062061B"/>
    <w:rsid w:val="00630A32"/>
    <w:rsid w:val="00631780"/>
    <w:rsid w:val="00634ECC"/>
    <w:rsid w:val="00650DC9"/>
    <w:rsid w:val="00682968"/>
    <w:rsid w:val="00686512"/>
    <w:rsid w:val="006D1024"/>
    <w:rsid w:val="006E005A"/>
    <w:rsid w:val="006E1C25"/>
    <w:rsid w:val="00731324"/>
    <w:rsid w:val="00734BD2"/>
    <w:rsid w:val="00740C9B"/>
    <w:rsid w:val="007508B9"/>
    <w:rsid w:val="007532C4"/>
    <w:rsid w:val="00772BF3"/>
    <w:rsid w:val="00777D91"/>
    <w:rsid w:val="007B3293"/>
    <w:rsid w:val="007D4610"/>
    <w:rsid w:val="007E04EB"/>
    <w:rsid w:val="00801DEA"/>
    <w:rsid w:val="00805940"/>
    <w:rsid w:val="00813B02"/>
    <w:rsid w:val="008228FD"/>
    <w:rsid w:val="008346D3"/>
    <w:rsid w:val="00851E56"/>
    <w:rsid w:val="008662AB"/>
    <w:rsid w:val="00894941"/>
    <w:rsid w:val="0089595A"/>
    <w:rsid w:val="008A3A7A"/>
    <w:rsid w:val="008D0A47"/>
    <w:rsid w:val="009008C0"/>
    <w:rsid w:val="0091516D"/>
    <w:rsid w:val="00915D1C"/>
    <w:rsid w:val="00926386"/>
    <w:rsid w:val="009437AF"/>
    <w:rsid w:val="00964756"/>
    <w:rsid w:val="009907F4"/>
    <w:rsid w:val="009A1582"/>
    <w:rsid w:val="009B60CA"/>
    <w:rsid w:val="009D1617"/>
    <w:rsid w:val="009E1D72"/>
    <w:rsid w:val="009E2D29"/>
    <w:rsid w:val="00A00AF0"/>
    <w:rsid w:val="00A06AA2"/>
    <w:rsid w:val="00A24383"/>
    <w:rsid w:val="00A335B6"/>
    <w:rsid w:val="00A67A57"/>
    <w:rsid w:val="00A77FE9"/>
    <w:rsid w:val="00AA62E6"/>
    <w:rsid w:val="00AB5C1F"/>
    <w:rsid w:val="00AD0E35"/>
    <w:rsid w:val="00AF5CFB"/>
    <w:rsid w:val="00B12CA5"/>
    <w:rsid w:val="00B62A0E"/>
    <w:rsid w:val="00B63CD0"/>
    <w:rsid w:val="00B6607B"/>
    <w:rsid w:val="00B66FEF"/>
    <w:rsid w:val="00B87DCB"/>
    <w:rsid w:val="00B90113"/>
    <w:rsid w:val="00B97D39"/>
    <w:rsid w:val="00BC02B2"/>
    <w:rsid w:val="00BD6263"/>
    <w:rsid w:val="00BE2916"/>
    <w:rsid w:val="00BF7696"/>
    <w:rsid w:val="00C00C18"/>
    <w:rsid w:val="00C461D2"/>
    <w:rsid w:val="00C4651D"/>
    <w:rsid w:val="00C54474"/>
    <w:rsid w:val="00C66778"/>
    <w:rsid w:val="00C66BA5"/>
    <w:rsid w:val="00C71C0D"/>
    <w:rsid w:val="00C753F2"/>
    <w:rsid w:val="00C81256"/>
    <w:rsid w:val="00CD1562"/>
    <w:rsid w:val="00D33DB7"/>
    <w:rsid w:val="00D547A7"/>
    <w:rsid w:val="00D7484E"/>
    <w:rsid w:val="00D810E0"/>
    <w:rsid w:val="00DB5811"/>
    <w:rsid w:val="00DD3999"/>
    <w:rsid w:val="00DD626A"/>
    <w:rsid w:val="00E236F3"/>
    <w:rsid w:val="00E23B40"/>
    <w:rsid w:val="00E2595F"/>
    <w:rsid w:val="00E25E8E"/>
    <w:rsid w:val="00E67C02"/>
    <w:rsid w:val="00E829BC"/>
    <w:rsid w:val="00EA5E22"/>
    <w:rsid w:val="00EC63D8"/>
    <w:rsid w:val="00F05D13"/>
    <w:rsid w:val="00F23D76"/>
    <w:rsid w:val="00F65C8C"/>
    <w:rsid w:val="00F73448"/>
    <w:rsid w:val="00FB59DF"/>
    <w:rsid w:val="00FE5015"/>
    <w:rsid w:val="00FF1F42"/>
    <w:rsid w:val="5DDE6397"/>
    <w:rsid w:val="772BAEC5"/>
    <w:rsid w:val="7BF95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F6DA86"/>
  <w15:docId w15:val="{6C8AE1A0-5772-874D-BB9A-452ADF020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02B2"/>
    <w:rPr>
      <w:rFonts w:ascii="宋体" w:eastAsia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BC02B2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BC02B2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Normal (Web)"/>
    <w:basedOn w:val="a"/>
    <w:uiPriority w:val="99"/>
    <w:qFormat/>
    <w:rsid w:val="00BC02B2"/>
    <w:pPr>
      <w:widowControl w:val="0"/>
      <w:spacing w:beforeAutospacing="1" w:afterAutospacing="1"/>
    </w:pPr>
    <w:rPr>
      <w:rFonts w:asciiTheme="minorHAnsi" w:eastAsiaTheme="minorEastAsia" w:hAnsiTheme="minorHAnsi" w:cs="Times New Roman"/>
    </w:rPr>
  </w:style>
  <w:style w:type="character" w:styleId="a8">
    <w:name w:val="page number"/>
    <w:basedOn w:val="a0"/>
    <w:uiPriority w:val="99"/>
    <w:semiHidden/>
    <w:unhideWhenUsed/>
    <w:qFormat/>
    <w:rsid w:val="00BC02B2"/>
  </w:style>
  <w:style w:type="character" w:customStyle="1" w:styleId="a4">
    <w:name w:val="页脚 字符"/>
    <w:basedOn w:val="a0"/>
    <w:link w:val="a3"/>
    <w:uiPriority w:val="99"/>
    <w:qFormat/>
    <w:rsid w:val="00BC02B2"/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BC02B2"/>
    <w:rPr>
      <w:sz w:val="18"/>
      <w:szCs w:val="18"/>
    </w:rPr>
  </w:style>
  <w:style w:type="paragraph" w:customStyle="1" w:styleId="1">
    <w:name w:val="修订1"/>
    <w:hidden/>
    <w:uiPriority w:val="99"/>
    <w:semiHidden/>
    <w:qFormat/>
    <w:rsid w:val="00BC02B2"/>
    <w:rPr>
      <w:kern w:val="2"/>
      <w:sz w:val="21"/>
      <w:szCs w:val="24"/>
    </w:rPr>
  </w:style>
  <w:style w:type="character" w:customStyle="1" w:styleId="s5">
    <w:name w:val="s5"/>
    <w:basedOn w:val="a0"/>
    <w:qFormat/>
    <w:rsid w:val="00BC02B2"/>
  </w:style>
  <w:style w:type="paragraph" w:styleId="a9">
    <w:name w:val="Revision"/>
    <w:hidden/>
    <w:uiPriority w:val="99"/>
    <w:semiHidden/>
    <w:rsid w:val="00D7484E"/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230</Words>
  <Characters>1316</Characters>
  <Application>Microsoft Office Word</Application>
  <DocSecurity>0</DocSecurity>
  <Lines>10</Lines>
  <Paragraphs>3</Paragraphs>
  <ScaleCrop>false</ScaleCrop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122</cp:revision>
  <dcterms:created xsi:type="dcterms:W3CDTF">2022-04-14T09:13:00Z</dcterms:created>
  <dcterms:modified xsi:type="dcterms:W3CDTF">2022-08-16T00:57:00Z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2052-4.4.1.7380</vt:lpwstr>
  </property>
  <property fmtid="{D5CDD505-2E9C-101B-9397-08002B2CF9AE}" pid="3" name="ICV">
    <vt:lpwstr>E87F9CD73FB388784BD1E962C6F9A920</vt:lpwstr>
  </property>
</Properties>
</file>