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5"/>
      </w:pP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《中关村国家自主创新示范区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提升国际化发展水平支持资金管理办法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修订稿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）》修订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说明</w:t>
      </w:r>
    </w:p>
    <w:p/>
    <w:p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bidi w:val="0"/>
        <w:spacing w:after="0" w:afterLines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适应国际形势变化</w:t>
      </w:r>
      <w:r>
        <w:rPr>
          <w:rFonts w:hint="eastAsia" w:ascii="仿宋_GB2312" w:hAnsi="仿宋_GB2312" w:eastAsia="仿宋_GB2312" w:cs="仿宋_GB2312"/>
          <w:sz w:val="32"/>
          <w:szCs w:val="32"/>
        </w:rPr>
        <w:t>，聚焦重点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任务，结合“1+5”办法实施过程中总结的相关经验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，我委</w:t>
      </w:r>
      <w:r>
        <w:rPr>
          <w:rFonts w:hint="eastAsia" w:ascii="仿宋_GB2312" w:hAnsi="仿宋_GB2312" w:eastAsia="仿宋_GB2312" w:cs="仿宋_GB2312"/>
          <w:sz w:val="32"/>
          <w:szCs w:val="32"/>
        </w:rPr>
        <w:t>对《中关村国家自主创新示范区提升国际化发展水平支持资金管理办法（试行）》（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简称《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国际化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中的部分内容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进行修订。</w:t>
      </w:r>
    </w:p>
    <w:p>
      <w:pPr>
        <w:snapToGrid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一、修订背景</w:t>
      </w:r>
    </w:p>
    <w:p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国际化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办法》经过两年的实践，获得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较好成效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，但也面临一些亟需修改完善的问题。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随着近年来国际环境不断变化，需要加强建立以项目落地为导向的国际合作；二是为更好提升本市科技合作国际化氛围，适当整合、适时新增部分条款；三是要进一步强化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政策点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我委重点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的关联度。据此拟对《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国际化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办法》进行修订，进一步释放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开放包容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的政策信号，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助力国际化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发展。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、主要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修订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内容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修订后的《国际化办法》包括总则、支持内容及标准、项目组织管理、绩效管理与监督和附则，共5章23条。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（一）原“支持技术（服务）‘走出去’”、原“支持在国（境）外设立研发中心”整合成“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支持本市创新主体高质量出海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”。取消对非首次出海的支持。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（二）原“支持在国（境）外设立科技园区”、原“支持在国（境）外设立孵化平台”、原“提供跨国（境）技术转移服务”整合成“支持开展国际技术转移转化”。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（三）新增“支持提升国际化能力和渠道建设”。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（五）删除“支持科研开放共享”。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（六）删除“支持开展国际人才交流合作”。</w:t>
      </w:r>
      <w:bookmarkStart w:id="0" w:name="_GoBack"/>
      <w:bookmarkEnd w:id="0"/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其余部分条款有名称或内容调整，详见附件1。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7E5B"/>
    <w:rsid w:val="DDD53ABE"/>
    <w:rsid w:val="F9BB6498"/>
    <w:rsid w:val="FDEE26FC"/>
    <w:rsid w:val="FFF77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index heading"/>
    <w:basedOn w:val="1"/>
    <w:next w:val="5"/>
    <w:qFormat/>
    <w:uiPriority w:val="0"/>
    <w:rPr>
      <w:rFonts w:ascii="等线 Light" w:hAnsi="等线 Light" w:eastAsia="等线 Light"/>
      <w:b/>
      <w:bCs/>
    </w:rPr>
  </w:style>
  <w:style w:type="paragraph" w:styleId="5">
    <w:name w:val="index 1"/>
    <w:basedOn w:val="1"/>
    <w:next w:val="1"/>
    <w:qFormat/>
    <w:uiPriority w:val="0"/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2024-06-29T17:22:00Z</dcterms:created>
  <dc:creator>user</dc:creator>
  <cp:lastModifiedBy>user</cp:lastModifiedBy>
  <dcterms:modified xsi:type="dcterms:W3CDTF">2024-07-03T12:51:49Z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