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CE" w:rsidRPr="000C410E" w:rsidRDefault="000C410E" w:rsidP="000C410E">
      <w:pPr>
        <w:spacing w:line="560" w:lineRule="exact"/>
        <w:outlineLvl w:val="0"/>
        <w:rPr>
          <w:rFonts w:ascii="黑体" w:eastAsia="黑体" w:hAnsi="黑体"/>
          <w:bCs/>
          <w:sz w:val="32"/>
          <w:szCs w:val="32"/>
        </w:rPr>
      </w:pPr>
      <w:r w:rsidRPr="000C410E">
        <w:rPr>
          <w:rFonts w:ascii="黑体" w:eastAsia="黑体" w:hAnsi="黑体" w:hint="eastAsia"/>
          <w:bCs/>
          <w:sz w:val="32"/>
          <w:szCs w:val="32"/>
        </w:rPr>
        <w:t>附件1</w:t>
      </w:r>
    </w:p>
    <w:p w:rsidR="00C741CE" w:rsidRDefault="008F7018">
      <w:pPr>
        <w:spacing w:line="560" w:lineRule="exact"/>
        <w:jc w:val="center"/>
        <w:outlineLvl w:val="0"/>
        <w:rPr>
          <w:rFonts w:ascii="方正小标宋_GBK" w:eastAsia="方正小标宋_GBK" w:hAnsi="华文中宋"/>
          <w:bCs/>
          <w:sz w:val="44"/>
          <w:szCs w:val="44"/>
        </w:rPr>
      </w:pPr>
      <w:r>
        <w:rPr>
          <w:rFonts w:ascii="方正小标宋_GBK" w:eastAsia="方正小标宋_GBK" w:hAnsi="华文中宋" w:hint="eastAsia"/>
          <w:bCs/>
          <w:sz w:val="44"/>
          <w:szCs w:val="44"/>
        </w:rPr>
        <w:t>北京国际科技创新中心</w:t>
      </w:r>
    </w:p>
    <w:p w:rsidR="00C741CE" w:rsidRDefault="008F7018">
      <w:pPr>
        <w:spacing w:line="560" w:lineRule="exact"/>
        <w:jc w:val="center"/>
        <w:outlineLvl w:val="0"/>
        <w:rPr>
          <w:rFonts w:ascii="方正小标宋_GBK" w:eastAsia="方正小标宋_GBK" w:hAnsi="华文中宋"/>
          <w:bCs/>
          <w:sz w:val="44"/>
          <w:szCs w:val="44"/>
        </w:rPr>
      </w:pPr>
      <w:r>
        <w:rPr>
          <w:rFonts w:ascii="方正小标宋_GBK" w:eastAsia="方正小标宋_GBK" w:hAnsi="华文中宋" w:hint="eastAsia"/>
          <w:bCs/>
          <w:sz w:val="44"/>
          <w:szCs w:val="44"/>
        </w:rPr>
        <w:t>科技创新国际化提升行动计划</w:t>
      </w:r>
    </w:p>
    <w:p w:rsidR="00C741CE" w:rsidRDefault="008F7018">
      <w:pPr>
        <w:spacing w:line="560" w:lineRule="exact"/>
        <w:jc w:val="center"/>
        <w:outlineLvl w:val="0"/>
        <w:rPr>
          <w:rFonts w:ascii="方正小标宋_GBK" w:eastAsia="方正小标宋_GBK" w:hAnsi="华文中宋"/>
          <w:bCs/>
          <w:sz w:val="36"/>
          <w:szCs w:val="36"/>
        </w:rPr>
      </w:pPr>
      <w:r>
        <w:rPr>
          <w:rFonts w:ascii="方正小标宋_GBK" w:eastAsia="方正小标宋_GBK" w:hAnsi="华文中宋" w:hint="eastAsia"/>
          <w:bCs/>
          <w:sz w:val="44"/>
          <w:szCs w:val="44"/>
        </w:rPr>
        <w:t>（2024-2027年）</w:t>
      </w:r>
    </w:p>
    <w:p w:rsidR="00C741CE" w:rsidRDefault="008F7018">
      <w:pPr>
        <w:spacing w:line="560" w:lineRule="exact"/>
        <w:jc w:val="center"/>
        <w:rPr>
          <w:rFonts w:ascii="楷体_GB2312" w:eastAsia="楷体_GB2312" w:hAnsi="华文中宋"/>
          <w:bCs/>
          <w:sz w:val="32"/>
          <w:szCs w:val="32"/>
        </w:rPr>
      </w:pPr>
      <w:r>
        <w:rPr>
          <w:rFonts w:ascii="楷体_GB2312" w:eastAsia="楷体_GB2312" w:hAnsi="华文中宋" w:hint="eastAsia"/>
          <w:bCs/>
          <w:sz w:val="32"/>
          <w:szCs w:val="32"/>
        </w:rPr>
        <w:t>（</w:t>
      </w:r>
      <w:r w:rsidR="00E11079">
        <w:rPr>
          <w:rFonts w:ascii="楷体_GB2312" w:eastAsia="楷体_GB2312" w:hAnsi="华文中宋" w:hint="eastAsia"/>
          <w:bCs/>
          <w:sz w:val="32"/>
          <w:szCs w:val="32"/>
        </w:rPr>
        <w:t>征求意见</w:t>
      </w:r>
      <w:r>
        <w:rPr>
          <w:rFonts w:ascii="楷体_GB2312" w:eastAsia="楷体_GB2312" w:hAnsi="华文中宋" w:hint="eastAsia"/>
          <w:bCs/>
          <w:sz w:val="32"/>
          <w:szCs w:val="32"/>
        </w:rPr>
        <w:t xml:space="preserve">稿） </w:t>
      </w:r>
    </w:p>
    <w:p w:rsidR="00C741CE" w:rsidRDefault="008F7018" w:rsidP="003C056A">
      <w:pPr>
        <w:spacing w:beforeLines="100" w:line="560" w:lineRule="exact"/>
        <w:ind w:firstLine="641"/>
        <w:rPr>
          <w:rFonts w:ascii="仿宋_GB2312" w:eastAsia="仿宋_GB2312"/>
          <w:sz w:val="32"/>
          <w:szCs w:val="32"/>
        </w:rPr>
      </w:pPr>
      <w:r>
        <w:rPr>
          <w:rFonts w:ascii="仿宋_GB2312" w:eastAsia="仿宋_GB2312" w:hint="eastAsia"/>
          <w:sz w:val="32"/>
          <w:szCs w:val="32"/>
        </w:rPr>
        <w:t>高水平科技创新国际化，是加快北京创新资源优势转化为经济社会高质量发展优势的重要途径，是率先建成北京国际科技创新中心的重要支撑，对北京深化国际协同创新，深度融入全球创新网络，加快形成新质生产力，服务中国式现代化建设具有重大意义。为全面提升北京科技创新国际化水平，根据《</w:t>
      </w:r>
      <w:r>
        <w:rPr>
          <w:rFonts w:ascii="仿宋_GB2312" w:eastAsia="仿宋_GB2312" w:hAnsi="仿宋_GB2312" w:cs="仿宋_GB2312" w:hint="eastAsia"/>
          <w:sz w:val="32"/>
          <w:szCs w:val="32"/>
        </w:rPr>
        <w:t>北京国际科技创新中心建设条例</w:t>
      </w:r>
      <w:r>
        <w:rPr>
          <w:rFonts w:ascii="仿宋_GB2312" w:eastAsia="仿宋_GB2312" w:hint="eastAsia"/>
          <w:sz w:val="32"/>
          <w:szCs w:val="32"/>
        </w:rPr>
        <w:t>》，制定本行动计划。</w:t>
      </w:r>
    </w:p>
    <w:p w:rsidR="00C741CE" w:rsidRDefault="008F7018">
      <w:pPr>
        <w:pStyle w:val="1"/>
        <w:ind w:firstLine="640"/>
      </w:pPr>
      <w:r>
        <w:rPr>
          <w:rFonts w:hint="eastAsia"/>
        </w:rPr>
        <w:t>一、总体要求</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（一）指导思想</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以习近平新时代中国特色社会主义思想为指引，</w:t>
      </w:r>
      <w:r>
        <w:rPr>
          <w:rFonts w:ascii="仿宋_GB2312" w:eastAsia="仿宋_GB2312" w:hAnsi="仿宋_GB2312" w:cs="仿宋_GB2312"/>
          <w:sz w:val="32"/>
          <w:szCs w:val="32"/>
        </w:rPr>
        <w:t>全面</w:t>
      </w:r>
      <w:r w:rsidR="005B57C0">
        <w:rPr>
          <w:rFonts w:ascii="仿宋_GB2312" w:eastAsia="仿宋_GB2312" w:hAnsi="仿宋_GB2312" w:cs="仿宋_GB2312" w:hint="eastAsia"/>
          <w:sz w:val="32"/>
          <w:szCs w:val="32"/>
        </w:rPr>
        <w:t>贯彻</w:t>
      </w:r>
      <w:r>
        <w:rPr>
          <w:rFonts w:ascii="仿宋_GB2312" w:eastAsia="仿宋_GB2312" w:hAnsi="仿宋_GB2312" w:cs="仿宋_GB2312"/>
          <w:sz w:val="32"/>
          <w:szCs w:val="32"/>
        </w:rPr>
        <w:t>党的二十大</w:t>
      </w:r>
      <w:r>
        <w:rPr>
          <w:rFonts w:ascii="仿宋_GB2312" w:eastAsia="仿宋_GB2312" w:hAnsi="仿宋_GB2312" w:cs="仿宋_GB2312" w:hint="eastAsia"/>
          <w:sz w:val="32"/>
          <w:szCs w:val="32"/>
        </w:rPr>
        <w:t>和二十届三中全会精神，</w:t>
      </w:r>
      <w:proofErr w:type="gramStart"/>
      <w:r>
        <w:rPr>
          <w:rFonts w:ascii="仿宋_GB2312" w:eastAsia="仿宋_GB2312" w:hAnsi="仿宋_GB2312" w:cs="仿宋_GB2312" w:hint="eastAsia"/>
          <w:sz w:val="32"/>
          <w:szCs w:val="32"/>
        </w:rPr>
        <w:t>深入</w:t>
      </w:r>
      <w:r w:rsidR="005B57C0">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习近</w:t>
      </w:r>
      <w:proofErr w:type="gramEnd"/>
      <w:r>
        <w:rPr>
          <w:rFonts w:ascii="仿宋_GB2312" w:eastAsia="仿宋_GB2312" w:hAnsi="仿宋_GB2312" w:cs="仿宋_GB2312" w:hint="eastAsia"/>
          <w:sz w:val="32"/>
          <w:szCs w:val="32"/>
        </w:rPr>
        <w:t>平总书记对</w:t>
      </w:r>
      <w:r w:rsidR="005B57C0">
        <w:rPr>
          <w:rFonts w:ascii="仿宋_GB2312" w:eastAsia="仿宋_GB2312" w:hAnsi="仿宋_GB2312" w:cs="仿宋_GB2312" w:hint="eastAsia"/>
          <w:sz w:val="32"/>
          <w:szCs w:val="32"/>
        </w:rPr>
        <w:t>北京国际科技创新中心和中关村世界领先科技园区建设重要指示批示</w:t>
      </w:r>
      <w:r>
        <w:rPr>
          <w:rFonts w:ascii="仿宋_GB2312" w:eastAsia="仿宋_GB2312" w:hAnsi="仿宋_GB2312" w:cs="仿宋_GB2312" w:hint="eastAsia"/>
          <w:sz w:val="32"/>
          <w:szCs w:val="32"/>
        </w:rPr>
        <w:t>，立足新阶段、新任务、新目标，围绕首都城市战略定位和发展规划，发挥北京教育、科技、人才优势，坚持高质量“引进来”、高水平“走出去”并</w:t>
      </w:r>
      <w:r w:rsidR="005B57C0">
        <w:rPr>
          <w:rFonts w:ascii="仿宋_GB2312" w:eastAsia="仿宋_GB2312" w:hAnsi="仿宋_GB2312" w:cs="仿宋_GB2312" w:hint="eastAsia"/>
          <w:sz w:val="32"/>
          <w:szCs w:val="32"/>
        </w:rPr>
        <w:t>重</w:t>
      </w:r>
      <w:r>
        <w:rPr>
          <w:rFonts w:ascii="仿宋_GB2312" w:eastAsia="仿宋_GB2312" w:hAnsi="仿宋_GB2312" w:cs="仿宋_GB2312" w:hint="eastAsia"/>
          <w:sz w:val="32"/>
          <w:szCs w:val="32"/>
        </w:rPr>
        <w:t>，以优化国际科技合作网络为支撑，以促进创新主体国际化发展为主线，</w:t>
      </w:r>
      <w:r w:rsidR="005B57C0">
        <w:rPr>
          <w:rFonts w:ascii="仿宋_GB2312" w:eastAsia="仿宋_GB2312" w:hAnsi="仿宋_GB2312" w:cs="仿宋_GB2312" w:hint="eastAsia"/>
          <w:sz w:val="32"/>
          <w:szCs w:val="32"/>
        </w:rPr>
        <w:t>全力</w:t>
      </w:r>
      <w:r>
        <w:rPr>
          <w:rFonts w:ascii="仿宋_GB2312" w:eastAsia="仿宋_GB2312" w:hAnsi="仿宋_GB2312" w:cs="仿宋_GB2312" w:hint="eastAsia"/>
          <w:sz w:val="32"/>
          <w:szCs w:val="32"/>
        </w:rPr>
        <w:t>实施六大国际化提升行动，加快建设具有全球竞争力的</w:t>
      </w:r>
      <w:r w:rsidR="005B57C0">
        <w:rPr>
          <w:rFonts w:ascii="仿宋_GB2312" w:eastAsia="仿宋_GB2312" w:hAnsi="仿宋_GB2312" w:cs="仿宋_GB2312" w:hint="eastAsia"/>
          <w:sz w:val="32"/>
          <w:szCs w:val="32"/>
        </w:rPr>
        <w:t>开放创新生态</w:t>
      </w:r>
      <w:r>
        <w:rPr>
          <w:rFonts w:ascii="仿宋_GB2312" w:eastAsia="仿宋_GB2312" w:hAnsi="仿宋_GB2312" w:cs="仿宋_GB2312" w:hint="eastAsia"/>
          <w:sz w:val="32"/>
          <w:szCs w:val="32"/>
        </w:rPr>
        <w:t>，推动北京科技创新国际化在更大范围、更宽领域、更深层次发展，为率先高水平建成国</w:t>
      </w:r>
      <w:r>
        <w:rPr>
          <w:rFonts w:ascii="仿宋_GB2312" w:eastAsia="仿宋_GB2312" w:hAnsi="仿宋_GB2312" w:cs="仿宋_GB2312" w:hint="eastAsia"/>
          <w:color w:val="000000" w:themeColor="text1"/>
          <w:sz w:val="32"/>
          <w:szCs w:val="32"/>
        </w:rPr>
        <w:t>际科技创新</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lastRenderedPageBreak/>
        <w:t>提供重要动力。</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（二）基本原则</w:t>
      </w:r>
    </w:p>
    <w:p w:rsidR="00C741CE" w:rsidRDefault="008F7018">
      <w:pPr>
        <w:spacing w:line="560" w:lineRule="exact"/>
        <w:ind w:firstLine="640"/>
        <w:outlineLvl w:val="1"/>
        <w:rPr>
          <w:rFonts w:ascii="仿宋_GB2312" w:eastAsia="仿宋_GB2312" w:hAnsi="仿宋_GB2312" w:cs="仿宋_GB2312"/>
          <w:sz w:val="32"/>
          <w:szCs w:val="32"/>
        </w:rPr>
      </w:pPr>
      <w:r>
        <w:rPr>
          <w:rFonts w:ascii="仿宋_GB2312" w:eastAsia="仿宋_GB2312" w:hAnsi="仿宋_GB2312" w:cs="仿宋_GB2312" w:hint="eastAsia"/>
          <w:b/>
          <w:sz w:val="32"/>
          <w:szCs w:val="32"/>
        </w:rPr>
        <w:t>创新引领</w:t>
      </w:r>
      <w:r>
        <w:rPr>
          <w:rFonts w:ascii="仿宋_GB2312" w:eastAsia="仿宋_GB2312" w:hAnsi="仿宋_GB2312" w:cs="仿宋_GB2312" w:hint="eastAsia"/>
          <w:sz w:val="32"/>
          <w:szCs w:val="32"/>
        </w:rPr>
        <w:t>。深入</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国际科技合作倡议，拓展合作路径，完善合作机制，进一步拓宽政府和民间交流合作渠道，支持各国科研人员创新合作，主动融入全球科技创新网络。</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双向促进</w:t>
      </w:r>
      <w:r>
        <w:rPr>
          <w:rFonts w:ascii="仿宋_GB2312" w:eastAsia="仿宋_GB2312" w:hAnsi="仿宋_GB2312" w:cs="仿宋_GB2312" w:hint="eastAsia"/>
          <w:sz w:val="32"/>
          <w:szCs w:val="32"/>
        </w:rPr>
        <w:t>。坚持“引进来”“走出去”并重，</w:t>
      </w:r>
      <w:r w:rsidR="005B57C0">
        <w:rPr>
          <w:rFonts w:ascii="仿宋_GB2312" w:eastAsia="仿宋_GB2312" w:hAnsi="仿宋_GB2312" w:cs="仿宋_GB2312" w:hint="eastAsia"/>
          <w:sz w:val="32"/>
          <w:szCs w:val="32"/>
        </w:rPr>
        <w:t>深化国际伙伴关系，</w:t>
      </w:r>
      <w:r>
        <w:rPr>
          <w:rFonts w:ascii="仿宋_GB2312" w:eastAsia="仿宋_GB2312" w:hAnsi="仿宋_GB2312" w:cs="仿宋_GB2312" w:hint="eastAsia"/>
          <w:sz w:val="32"/>
          <w:szCs w:val="32"/>
        </w:rPr>
        <w:t>优化创新要素配置，</w:t>
      </w:r>
      <w:r w:rsidR="005B57C0">
        <w:rPr>
          <w:rFonts w:ascii="仿宋_GB2312" w:eastAsia="仿宋_GB2312" w:hAnsi="仿宋_GB2312" w:cs="仿宋_GB2312" w:hint="eastAsia"/>
          <w:sz w:val="32"/>
          <w:szCs w:val="32"/>
        </w:rPr>
        <w:t>助力畅通国内国际双循环，</w:t>
      </w:r>
      <w:r>
        <w:rPr>
          <w:rFonts w:ascii="仿宋_GB2312" w:eastAsia="仿宋_GB2312" w:hAnsi="仿宋_GB2312" w:cs="仿宋_GB2312" w:hint="eastAsia"/>
          <w:sz w:val="32"/>
          <w:szCs w:val="32"/>
        </w:rPr>
        <w:t>拓展国际伙伴关系，推动构建协调包容、合作共赢、共同繁荣的全球发展格局。</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市场主导</w:t>
      </w:r>
      <w:r>
        <w:rPr>
          <w:rFonts w:ascii="仿宋_GB2312" w:eastAsia="仿宋_GB2312" w:hAnsi="仿宋_GB2312" w:cs="仿宋_GB2312" w:hint="eastAsia"/>
          <w:sz w:val="32"/>
          <w:szCs w:val="32"/>
        </w:rPr>
        <w:t>。遵循市场规律和国际通行规则，充分发挥市场在资源配置中的决定性作用，突出企业在科技创新中的主体地位，强化政府服务功能，提升创新主体国际化发展水平。</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深化改革</w:t>
      </w:r>
      <w:r>
        <w:rPr>
          <w:rFonts w:ascii="仿宋_GB2312" w:eastAsia="仿宋_GB2312" w:hAnsi="仿宋_GB2312" w:cs="仿宋_GB2312" w:hint="eastAsia"/>
          <w:sz w:val="32"/>
          <w:szCs w:val="32"/>
        </w:rPr>
        <w:t xml:space="preserve">。统筹推进教育、科技、人才体制机制一体改革，营造有利于科技创新、企业发展的制度环境。加快科技政策创新，构筑具有全球竞争力的科技创新开放环境。    </w:t>
      </w:r>
    </w:p>
    <w:p w:rsidR="00C741CE" w:rsidRDefault="008F7018">
      <w:pPr>
        <w:spacing w:line="560" w:lineRule="exact"/>
        <w:ind w:firstLine="640"/>
        <w:outlineLvl w:val="1"/>
        <w:rPr>
          <w:rFonts w:ascii="楷体_GB2312" w:eastAsia="楷体_GB2312" w:hAnsi="楷体"/>
          <w:bCs/>
          <w:sz w:val="32"/>
          <w:szCs w:val="32"/>
        </w:rPr>
      </w:pPr>
      <w:r>
        <w:rPr>
          <w:rFonts w:ascii="楷体_GB2312" w:eastAsia="楷体_GB2312" w:hAnsi="楷体" w:hint="eastAsia"/>
          <w:bCs/>
          <w:sz w:val="32"/>
          <w:szCs w:val="32"/>
        </w:rPr>
        <w:t>（三）发展目标</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到2027年，北京国际科技创新中心国际化水平达到全球一流水平，链接全球创新网络紧密度进一步增强，具有全球竞争力的开放创新生态持续完善，人才、技术、资本要素流动活跃度</w:t>
      </w:r>
      <w:r w:rsidR="005B75A0">
        <w:rPr>
          <w:rFonts w:ascii="仿宋_GB2312" w:eastAsia="仿宋_GB2312" w:hAnsi="仿宋_GB2312" w:cs="仿宋_GB2312" w:hint="eastAsia"/>
          <w:sz w:val="32"/>
          <w:szCs w:val="32"/>
        </w:rPr>
        <w:t>世界</w:t>
      </w:r>
      <w:r>
        <w:rPr>
          <w:rFonts w:ascii="仿宋_GB2312" w:eastAsia="仿宋_GB2312" w:hAnsi="仿宋_GB2312" w:cs="仿宋_GB2312" w:hint="eastAsia"/>
          <w:sz w:val="32"/>
          <w:szCs w:val="32"/>
        </w:rPr>
        <w:t>领先。</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国际科技合作网络体系更趋完善</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与世界主要创新国家（地区）联系更加紧密，建立政府间、园区间国际科技合作机制达50个，民间国际科技交流合作活</w:t>
      </w:r>
      <w:r w:rsidR="005B75A0">
        <w:rPr>
          <w:rFonts w:ascii="仿宋_GB2312" w:eastAsia="仿宋_GB2312" w:hAnsi="仿宋_GB2312" w:cs="仿宋_GB2312" w:hint="eastAsia"/>
          <w:sz w:val="32"/>
          <w:szCs w:val="32"/>
        </w:rPr>
        <w:t>力</w:t>
      </w:r>
      <w:r>
        <w:rPr>
          <w:rFonts w:ascii="仿宋_GB2312" w:eastAsia="仿宋_GB2312" w:hAnsi="仿宋_GB2312" w:cs="仿宋_GB2312" w:hint="eastAsia"/>
          <w:sz w:val="32"/>
          <w:szCs w:val="32"/>
        </w:rPr>
        <w:t>持续增强。与“一带一路”沿线</w:t>
      </w:r>
      <w:r w:rsidR="005B75A0">
        <w:rPr>
          <w:rFonts w:ascii="仿宋_GB2312" w:eastAsia="仿宋_GB2312" w:hAnsi="仿宋_GB2312" w:cs="仿宋_GB2312" w:hint="eastAsia"/>
          <w:sz w:val="32"/>
          <w:szCs w:val="32"/>
        </w:rPr>
        <w:t>地区</w:t>
      </w:r>
      <w:r>
        <w:rPr>
          <w:rFonts w:ascii="仿宋_GB2312" w:eastAsia="仿宋_GB2312" w:hAnsi="仿宋_GB2312" w:cs="仿宋_GB2312" w:hint="eastAsia"/>
          <w:sz w:val="32"/>
          <w:szCs w:val="32"/>
        </w:rPr>
        <w:t>创新交流合作</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，共建市级“一带</w:t>
      </w:r>
      <w:r>
        <w:rPr>
          <w:rFonts w:ascii="仿宋_GB2312" w:eastAsia="仿宋_GB2312" w:hAnsi="仿宋_GB2312" w:cs="仿宋_GB2312" w:hint="eastAsia"/>
          <w:sz w:val="32"/>
          <w:szCs w:val="32"/>
        </w:rPr>
        <w:lastRenderedPageBreak/>
        <w:t>一路”联合实验室达15家。国际科技组织、机构集聚发展，数量达100家。创新主体高水平“走出去”加速，支持在海外建设中关村企业驻海外服务代表</w:t>
      </w:r>
      <w:proofErr w:type="gramStart"/>
      <w:r>
        <w:rPr>
          <w:rFonts w:ascii="仿宋_GB2312" w:eastAsia="仿宋_GB2312" w:hAnsi="仿宋_GB2312" w:cs="仿宋_GB2312" w:hint="eastAsia"/>
          <w:sz w:val="32"/>
          <w:szCs w:val="32"/>
        </w:rPr>
        <w:t>处数量</w:t>
      </w:r>
      <w:proofErr w:type="gramEnd"/>
      <w:r>
        <w:rPr>
          <w:rFonts w:ascii="仿宋_GB2312" w:eastAsia="仿宋_GB2312" w:hAnsi="仿宋_GB2312" w:cs="仿宋_GB2312" w:hint="eastAsia"/>
          <w:sz w:val="32"/>
          <w:szCs w:val="32"/>
        </w:rPr>
        <w:t>达25个。</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国际科技合作平台能级持续增强</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北京国际科技合作基地建设进一步优化，数量达100个。科技成果双向转化渠道</w:t>
      </w:r>
      <w:r w:rsidR="005B75A0">
        <w:rPr>
          <w:rFonts w:ascii="仿宋_GB2312" w:eastAsia="仿宋_GB2312" w:hAnsi="仿宋_GB2312" w:cs="仿宋_GB2312" w:hint="eastAsia"/>
          <w:sz w:val="32"/>
          <w:szCs w:val="32"/>
        </w:rPr>
        <w:t>更加</w:t>
      </w:r>
      <w:r>
        <w:rPr>
          <w:rFonts w:ascii="仿宋_GB2312" w:eastAsia="仿宋_GB2312" w:hAnsi="仿宋_GB2312" w:cs="仿宋_GB2312" w:hint="eastAsia"/>
          <w:sz w:val="32"/>
          <w:szCs w:val="32"/>
        </w:rPr>
        <w:t>畅通，培育和引进跨境技术转移机构20家。大科学装置开放共享</w:t>
      </w:r>
      <w:r w:rsidR="005B75A0">
        <w:rPr>
          <w:rFonts w:ascii="仿宋_GB2312" w:eastAsia="仿宋_GB2312" w:hAnsi="仿宋_GB2312" w:cs="仿宋_GB2312" w:hint="eastAsia"/>
          <w:sz w:val="32"/>
          <w:szCs w:val="32"/>
        </w:rPr>
        <w:t>实现新</w:t>
      </w:r>
      <w:r>
        <w:rPr>
          <w:rFonts w:ascii="仿宋_GB2312" w:eastAsia="仿宋_GB2312" w:hAnsi="仿宋_GB2312" w:cs="仿宋_GB2312" w:hint="eastAsia"/>
          <w:sz w:val="32"/>
          <w:szCs w:val="32"/>
        </w:rPr>
        <w:t>突破，服务全球重大基础科学研究能力显著提升。园区国际合作持续活跃，海外布局国际化创新载体平台达25家，有力支撑中关村世界领先科技园区建设。</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创新主体国际合作质效稳步提升</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主体参与国际联合研发积极性持续增强，开展国际联合研发项目100项。在京外资研发中心加速聚集，数量达300家。创新主体引领高质量</w:t>
      </w:r>
      <w:r w:rsidR="005B75A0">
        <w:rPr>
          <w:rFonts w:ascii="仿宋_GB2312" w:eastAsia="仿宋_GB2312" w:hAnsi="仿宋_GB2312" w:cs="仿宋_GB2312" w:hint="eastAsia"/>
          <w:sz w:val="32"/>
          <w:szCs w:val="32"/>
        </w:rPr>
        <w:t>“引进来”</w:t>
      </w:r>
      <w:r>
        <w:rPr>
          <w:rFonts w:ascii="仿宋_GB2312" w:eastAsia="仿宋_GB2312" w:hAnsi="仿宋_GB2312" w:cs="仿宋_GB2312" w:hint="eastAsia"/>
          <w:sz w:val="32"/>
          <w:szCs w:val="32"/>
        </w:rPr>
        <w:t>“走出去”，围绕创新全链条国际合作不断深入，PCT专利申请量达到1.2万件。</w:t>
      </w:r>
    </w:p>
    <w:p w:rsidR="00C741CE" w:rsidRDefault="005B75A0">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开放创新生态更具</w:t>
      </w:r>
      <w:r w:rsidR="008F7018">
        <w:rPr>
          <w:rFonts w:ascii="仿宋_GB2312" w:eastAsia="仿宋_GB2312" w:hAnsi="仿宋_GB2312" w:cs="仿宋_GB2312" w:hint="eastAsia"/>
          <w:b/>
          <w:sz w:val="32"/>
          <w:szCs w:val="32"/>
        </w:rPr>
        <w:t>全球竞争力</w:t>
      </w:r>
      <w:r>
        <w:rPr>
          <w:rFonts w:ascii="仿宋_GB2312" w:eastAsia="仿宋_GB2312" w:hAnsi="仿宋_GB2312" w:cs="仿宋_GB2312" w:hint="eastAsia"/>
          <w:sz w:val="32"/>
          <w:szCs w:val="32"/>
        </w:rPr>
        <w:t>。</w:t>
      </w:r>
      <w:r w:rsidR="008F7018">
        <w:rPr>
          <w:rFonts w:ascii="仿宋_GB2312" w:eastAsia="仿宋_GB2312" w:hAnsi="仿宋_GB2312" w:cs="仿宋_GB2312" w:hint="eastAsia"/>
          <w:sz w:val="32"/>
          <w:szCs w:val="32"/>
        </w:rPr>
        <w:t>知识产权政策体系不断完善，创新主体知识产权双向获权、维权能力持续提升。外籍人才来京发展便利</w:t>
      </w:r>
      <w:proofErr w:type="gramStart"/>
      <w:r w:rsidR="008F7018">
        <w:rPr>
          <w:rFonts w:ascii="仿宋_GB2312" w:eastAsia="仿宋_GB2312" w:hAnsi="仿宋_GB2312" w:cs="仿宋_GB2312" w:hint="eastAsia"/>
          <w:sz w:val="32"/>
          <w:szCs w:val="32"/>
        </w:rPr>
        <w:t>度显著</w:t>
      </w:r>
      <w:proofErr w:type="gramEnd"/>
      <w:r w:rsidR="008F7018">
        <w:rPr>
          <w:rFonts w:ascii="仿宋_GB2312" w:eastAsia="仿宋_GB2312" w:hAnsi="仿宋_GB2312" w:cs="仿宋_GB2312" w:hint="eastAsia"/>
          <w:sz w:val="32"/>
          <w:szCs w:val="32"/>
        </w:rPr>
        <w:t>提升，中关村示范区海外从业人员及留学归国人员数量达7.5万人。中关村</w:t>
      </w:r>
      <w:proofErr w:type="gramStart"/>
      <w:r w:rsidR="008F7018">
        <w:rPr>
          <w:rFonts w:ascii="仿宋_GB2312" w:eastAsia="仿宋_GB2312" w:hAnsi="仿宋_GB2312" w:cs="仿宋_GB2312" w:hint="eastAsia"/>
          <w:sz w:val="32"/>
          <w:szCs w:val="32"/>
        </w:rPr>
        <w:t>科创金融</w:t>
      </w:r>
      <w:proofErr w:type="gramEnd"/>
      <w:r w:rsidR="008F7018">
        <w:rPr>
          <w:rFonts w:ascii="仿宋_GB2312" w:eastAsia="仿宋_GB2312" w:hAnsi="仿宋_GB2312" w:cs="仿宋_GB2312" w:hint="eastAsia"/>
          <w:sz w:val="32"/>
          <w:szCs w:val="32"/>
        </w:rPr>
        <w:t>改革试验区建设</w:t>
      </w:r>
      <w:r>
        <w:rPr>
          <w:rFonts w:ascii="仿宋_GB2312" w:eastAsia="仿宋_GB2312" w:hAnsi="仿宋_GB2312" w:cs="仿宋_GB2312" w:hint="eastAsia"/>
          <w:sz w:val="32"/>
          <w:szCs w:val="32"/>
        </w:rPr>
        <w:t>成效明显</w:t>
      </w:r>
      <w:r w:rsidR="008F7018">
        <w:rPr>
          <w:rFonts w:ascii="仿宋_GB2312" w:eastAsia="仿宋_GB2312" w:hAnsi="仿宋_GB2312" w:cs="仿宋_GB2312" w:hint="eastAsia"/>
          <w:sz w:val="32"/>
          <w:szCs w:val="32"/>
        </w:rPr>
        <w:t>，国际化科技金融环境进一步优化。政策制度创新与改革持续深入，</w:t>
      </w:r>
      <w:r>
        <w:rPr>
          <w:rFonts w:ascii="仿宋_GB2312" w:eastAsia="仿宋_GB2312" w:hAnsi="仿宋_GB2312" w:cs="仿宋_GB2312" w:hint="eastAsia"/>
          <w:sz w:val="32"/>
          <w:szCs w:val="32"/>
        </w:rPr>
        <w:t>创新生态和科研吸引力大幅提升</w:t>
      </w:r>
      <w:r w:rsidR="008F7018">
        <w:rPr>
          <w:rFonts w:ascii="仿宋_GB2312" w:eastAsia="仿宋_GB2312" w:hAnsi="仿宋_GB2312" w:cs="仿宋_GB2312" w:hint="eastAsia"/>
          <w:sz w:val="32"/>
          <w:szCs w:val="32"/>
        </w:rPr>
        <w:t>。</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国际科技合作影响力持续增强</w:t>
      </w:r>
      <w:r w:rsidR="005B75A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中关村论坛国家级平台国际影响力和吸引力显著增强，为全球科技合作注入新活力。以全球数字经济大会、国际基础科学大会、北京国际学术交流季为核心的科技活动矩阵国际影响力不断增强。科技期刊</w:t>
      </w:r>
      <w:r>
        <w:rPr>
          <w:rFonts w:ascii="仿宋_GB2312" w:eastAsia="仿宋_GB2312" w:hAnsi="仿宋_GB2312" w:cs="仿宋_GB2312" w:hint="eastAsia"/>
          <w:sz w:val="32"/>
          <w:szCs w:val="32"/>
        </w:rPr>
        <w:lastRenderedPageBreak/>
        <w:t>国际影响力全面提升，进入科</w:t>
      </w:r>
      <w:proofErr w:type="gramStart"/>
      <w:r>
        <w:rPr>
          <w:rFonts w:ascii="仿宋_GB2312" w:eastAsia="仿宋_GB2312" w:hAnsi="仿宋_GB2312" w:cs="仿宋_GB2312" w:hint="eastAsia"/>
          <w:sz w:val="32"/>
          <w:szCs w:val="32"/>
        </w:rPr>
        <w:t>睿唯安</w:t>
      </w:r>
      <w:proofErr w:type="gramEnd"/>
      <w:r>
        <w:rPr>
          <w:rFonts w:ascii="仿宋_GB2312" w:eastAsia="仿宋_GB2312" w:hAnsi="仿宋_GB2312" w:cs="仿宋_GB2312" w:hint="eastAsia"/>
          <w:sz w:val="32"/>
          <w:szCs w:val="32"/>
        </w:rPr>
        <w:t>Q1区期刊达120本。</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展望2035年，北京国际科技合作网络体系全面建成，科技创新国际化水平实现大跃升，为全面建成北京国际科技创新中心和中关村世界领先科技园区提供</w:t>
      </w:r>
      <w:r w:rsidR="005B75A0">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有力支撑。</w:t>
      </w:r>
    </w:p>
    <w:p w:rsidR="00C741CE" w:rsidRDefault="008F7018">
      <w:pPr>
        <w:pStyle w:val="1"/>
        <w:ind w:firstLine="640"/>
        <w:rPr>
          <w:rFonts w:ascii="黑体" w:hAnsi="黑体"/>
          <w:szCs w:val="32"/>
        </w:rPr>
      </w:pPr>
      <w:r>
        <w:rPr>
          <w:rFonts w:ascii="黑体" w:hAnsi="黑体" w:hint="eastAsia"/>
          <w:szCs w:val="32"/>
        </w:rPr>
        <w:t>二、实施六大行动，提升科技创新国际化水平</w:t>
      </w:r>
    </w:p>
    <w:p w:rsidR="00C741CE" w:rsidRDefault="008F7018">
      <w:pPr>
        <w:pStyle w:val="2"/>
        <w:ind w:firstLine="640"/>
        <w:rPr>
          <w:rFonts w:ascii="楷体_GB2312" w:hAnsi="楷体"/>
          <w:bCs/>
          <w:szCs w:val="32"/>
        </w:rPr>
      </w:pPr>
      <w:r>
        <w:rPr>
          <w:rFonts w:ascii="楷体_GB2312" w:hAnsi="楷体" w:hint="eastAsia"/>
          <w:bCs/>
          <w:szCs w:val="32"/>
        </w:rPr>
        <w:t>（一）国际科技合作网络拓展行动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1.持续丰富完善国际</w:t>
      </w:r>
      <w:proofErr w:type="gramStart"/>
      <w:r>
        <w:rPr>
          <w:rFonts w:ascii="仿宋_GB2312" w:eastAsia="仿宋_GB2312" w:hAnsi="仿宋_GB2312" w:cs="仿宋_GB2312" w:hint="eastAsia"/>
          <w:b/>
          <w:sz w:val="32"/>
          <w:szCs w:val="32"/>
        </w:rPr>
        <w:t>科创交流</w:t>
      </w:r>
      <w:proofErr w:type="gramEnd"/>
      <w:r>
        <w:rPr>
          <w:rFonts w:ascii="仿宋_GB2312" w:eastAsia="仿宋_GB2312" w:hAnsi="仿宋_GB2312" w:cs="仿宋_GB2312" w:hint="eastAsia"/>
          <w:b/>
          <w:sz w:val="32"/>
          <w:szCs w:val="32"/>
        </w:rPr>
        <w:t>合作体系</w:t>
      </w:r>
      <w:r>
        <w:rPr>
          <w:rFonts w:ascii="仿宋_GB2312" w:eastAsia="仿宋_GB2312" w:hAnsi="仿宋_GB2312" w:cs="仿宋_GB2312" w:hint="eastAsia"/>
          <w:sz w:val="32"/>
          <w:szCs w:val="32"/>
        </w:rPr>
        <w:t>。</w:t>
      </w:r>
      <w:r w:rsidR="005B75A0">
        <w:rPr>
          <w:rFonts w:ascii="仿宋_GB2312" w:eastAsia="仿宋_GB2312" w:hAnsi="仿宋_GB2312" w:cs="仿宋_GB2312" w:hint="eastAsia"/>
          <w:sz w:val="32"/>
          <w:szCs w:val="32"/>
        </w:rPr>
        <w:t>主动</w:t>
      </w:r>
      <w:r>
        <w:rPr>
          <w:rFonts w:ascii="仿宋_GB2312" w:eastAsia="仿宋_GB2312" w:hAnsi="仿宋_GB2312" w:cs="仿宋_GB2312" w:hint="eastAsia"/>
          <w:sz w:val="32"/>
          <w:szCs w:val="32"/>
        </w:rPr>
        <w:t>融入国家科技外交工作，促进国际科技交流交往。着力构建双边、</w:t>
      </w:r>
      <w:proofErr w:type="gramStart"/>
      <w:r>
        <w:rPr>
          <w:rFonts w:ascii="仿宋_GB2312" w:eastAsia="仿宋_GB2312" w:hAnsi="仿宋_GB2312" w:cs="仿宋_GB2312" w:hint="eastAsia"/>
          <w:sz w:val="32"/>
          <w:szCs w:val="32"/>
        </w:rPr>
        <w:t>多边政府</w:t>
      </w:r>
      <w:proofErr w:type="gramEnd"/>
      <w:r>
        <w:rPr>
          <w:rFonts w:ascii="仿宋_GB2312" w:eastAsia="仿宋_GB2312" w:hAnsi="仿宋_GB2312" w:cs="仿宋_GB2312" w:hint="eastAsia"/>
          <w:sz w:val="32"/>
          <w:szCs w:val="32"/>
        </w:rPr>
        <w:t>间科技合作框架，在基础研究、技术开发、产业合作等方面，探索建立长效机制。加强与在京外国使领馆沟通力度，深化交流、务实合作。积极对接</w:t>
      </w:r>
      <w:proofErr w:type="gramStart"/>
      <w:r>
        <w:rPr>
          <w:rFonts w:ascii="仿宋_GB2312" w:eastAsia="仿宋_GB2312" w:hAnsi="仿宋_GB2312" w:cs="仿宋_GB2312" w:hint="eastAsia"/>
          <w:sz w:val="32"/>
          <w:szCs w:val="32"/>
        </w:rPr>
        <w:t>驻华商</w:t>
      </w:r>
      <w:proofErr w:type="gramEnd"/>
      <w:r>
        <w:rPr>
          <w:rFonts w:ascii="仿宋_GB2312" w:eastAsia="仿宋_GB2312" w:hAnsi="仿宋_GB2312" w:cs="仿宋_GB2312" w:hint="eastAsia"/>
          <w:sz w:val="32"/>
          <w:szCs w:val="32"/>
        </w:rPr>
        <w:t>学会组织，拓宽民间科技交流交往渠道。支持企业在海外建设中关村企业驻海外服务代表处。</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2.建设“一带一路”创新合作网络重要枢纽</w:t>
      </w:r>
      <w:r>
        <w:rPr>
          <w:rFonts w:ascii="仿宋_GB2312" w:eastAsia="仿宋_GB2312" w:hAnsi="仿宋_GB2312" w:cs="仿宋_GB2312" w:hint="eastAsia"/>
          <w:sz w:val="32"/>
          <w:szCs w:val="32"/>
        </w:rPr>
        <w:t>。制定实施新时代“一带一路”科技创新北京行动计划。支持各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与“一带一路”沿线地区创新主体合作设立研发中心、创新中心、海外孵化器等创新载体平台，积极参与“一带一路”联合实验室建设，增强创新资源双向流动。鼓励企业参与“一带一路”新型基础设施建设，加快</w:t>
      </w:r>
      <w:r w:rsidR="008B2CBD">
        <w:rPr>
          <w:rFonts w:ascii="仿宋_GB2312" w:eastAsia="仿宋_GB2312" w:hAnsi="仿宋_GB2312" w:cs="仿宋_GB2312" w:hint="eastAsia"/>
          <w:sz w:val="32"/>
          <w:szCs w:val="32"/>
        </w:rPr>
        <w:t>高水平</w:t>
      </w:r>
      <w:r>
        <w:rPr>
          <w:rFonts w:ascii="仿宋_GB2312" w:eastAsia="仿宋_GB2312" w:hAnsi="仿宋_GB2312" w:cs="仿宋_GB2312" w:hint="eastAsia"/>
          <w:sz w:val="32"/>
          <w:szCs w:val="32"/>
        </w:rPr>
        <w:t>“出海”。</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3.加快国际科技组织与机构集聚发展</w:t>
      </w:r>
      <w:r>
        <w:rPr>
          <w:rFonts w:ascii="仿宋_GB2312" w:eastAsia="仿宋_GB2312" w:hAnsi="仿宋_GB2312" w:cs="仿宋_GB2312" w:hint="eastAsia"/>
          <w:sz w:val="32"/>
          <w:szCs w:val="32"/>
        </w:rPr>
        <w:t>。支持在京高校院所、研究机构、科技领军企业发起或参与国际科技组织，鼓励科技人才在国际重要科技组织与机构兼职、任职。支持国外知名研究机构、高水平理工类大学在京集聚发展，设立科研分支机构。支持朝阳区高水平建设全国首个国际科技组织</w:t>
      </w:r>
      <w:r>
        <w:rPr>
          <w:rFonts w:ascii="仿宋_GB2312" w:eastAsia="仿宋_GB2312" w:hAnsi="仿宋_GB2312" w:cs="仿宋_GB2312" w:hint="eastAsia"/>
          <w:sz w:val="32"/>
          <w:szCs w:val="32"/>
        </w:rPr>
        <w:lastRenderedPageBreak/>
        <w:t>总部集聚区，打造联系全球创新资源的重要纽带群。</w:t>
      </w:r>
      <w:bookmarkStart w:id="0" w:name="_Hlk181636415"/>
    </w:p>
    <w:bookmarkEnd w:id="0"/>
    <w:p w:rsidR="00C741CE" w:rsidRDefault="008F7018">
      <w:pPr>
        <w:pStyle w:val="2"/>
        <w:ind w:firstLine="640"/>
      </w:pPr>
      <w:r>
        <w:rPr>
          <w:rFonts w:hint="eastAsia"/>
        </w:rPr>
        <w:t>（二）国际科技合作载体提质行动</w:t>
      </w:r>
    </w:p>
    <w:p w:rsidR="00C80A5E" w:rsidRDefault="008F7018" w:rsidP="00C80A5E">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4.强化提升“三城一区”国际化承载力</w:t>
      </w:r>
      <w:r>
        <w:rPr>
          <w:rFonts w:ascii="仿宋_GB2312" w:eastAsia="仿宋_GB2312" w:hAnsi="仿宋_GB2312" w:cs="仿宋_GB2312" w:hint="eastAsia"/>
          <w:sz w:val="32"/>
          <w:szCs w:val="32"/>
        </w:rPr>
        <w:t>。支持中关村科学城探索设立国际协同研究项目，开展基础研究和战略前沿高技术研发国际协同创新。支持怀柔科学城依托大科学设置加强国际创新合作，谋划大科学计划等全球科技合作项目。支持未来科学城引进多元创新主体，攻关未来科技、发展未来产业，推进“两谷一园”国际化发展。支持北京经济技术开发区和北京创新产业集群示范区（顺义）提升高精尖产业能力，增强国际产业资源吸引和承接力，打造技术创新和成果转化示范区。</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proofErr w:type="gramStart"/>
      <w:r>
        <w:rPr>
          <w:rFonts w:ascii="仿宋_GB2312" w:eastAsia="仿宋_GB2312" w:hAnsi="仿宋_GB2312" w:cs="仿宋_GB2312" w:hint="eastAsia"/>
          <w:b/>
          <w:sz w:val="32"/>
          <w:szCs w:val="32"/>
        </w:rPr>
        <w:t>挖掘分</w:t>
      </w:r>
      <w:proofErr w:type="gramEnd"/>
      <w:r>
        <w:rPr>
          <w:rFonts w:ascii="仿宋_GB2312" w:eastAsia="仿宋_GB2312" w:hAnsi="仿宋_GB2312" w:cs="仿宋_GB2312" w:hint="eastAsia"/>
          <w:b/>
          <w:sz w:val="32"/>
          <w:szCs w:val="32"/>
        </w:rPr>
        <w:t>园国际科技合作发展潜能</w:t>
      </w:r>
      <w:r>
        <w:rPr>
          <w:rFonts w:ascii="仿宋_GB2312" w:eastAsia="仿宋_GB2312" w:hAnsi="仿宋_GB2312" w:cs="仿宋_GB2312" w:hint="eastAsia"/>
          <w:sz w:val="32"/>
          <w:szCs w:val="32"/>
        </w:rPr>
        <w:t>。加快深化中关村各分</w:t>
      </w:r>
      <w:proofErr w:type="gramStart"/>
      <w:r>
        <w:rPr>
          <w:rFonts w:ascii="仿宋_GB2312" w:eastAsia="仿宋_GB2312" w:hAnsi="仿宋_GB2312" w:cs="仿宋_GB2312" w:hint="eastAsia"/>
          <w:sz w:val="32"/>
          <w:szCs w:val="32"/>
        </w:rPr>
        <w:t>园体制</w:t>
      </w:r>
      <w:proofErr w:type="gramEnd"/>
      <w:r>
        <w:rPr>
          <w:rFonts w:ascii="仿宋_GB2312" w:eastAsia="仿宋_GB2312" w:hAnsi="仿宋_GB2312" w:cs="仿宋_GB2312" w:hint="eastAsia"/>
          <w:sz w:val="32"/>
          <w:szCs w:val="32"/>
        </w:rPr>
        <w:t>机制改革，引导各分园围绕自身优势产业，绘制国际产业创新地图，建立国际产业合作库。支持有条件的分园，引入专业化国际运营机构，提升园区创新治理能力。发挥国际科技园及创新区域协会（IASP）渠道优势，鼓励各区与世界知名园区、创新区域缔结“姊妹园”“国际友好园区”等合作关系。</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6.深化并扩大国际创新集聚区建设</w:t>
      </w:r>
      <w:r>
        <w:rPr>
          <w:rFonts w:ascii="仿宋_GB2312" w:eastAsia="仿宋_GB2312" w:hAnsi="仿宋_GB2312" w:cs="仿宋_GB2312" w:hint="eastAsia"/>
          <w:sz w:val="32"/>
          <w:szCs w:val="32"/>
        </w:rPr>
        <w:t>。支持中日合作示范园、中</w:t>
      </w:r>
      <w:proofErr w:type="gramStart"/>
      <w:r>
        <w:rPr>
          <w:rFonts w:ascii="仿宋_GB2312" w:eastAsia="仿宋_GB2312" w:hAnsi="仿宋_GB2312" w:cs="仿宋_GB2312" w:hint="eastAsia"/>
          <w:sz w:val="32"/>
          <w:szCs w:val="32"/>
        </w:rPr>
        <w:t>德产业园深化</w:t>
      </w:r>
      <w:proofErr w:type="gramEnd"/>
      <w:r>
        <w:rPr>
          <w:rFonts w:ascii="仿宋_GB2312" w:eastAsia="仿宋_GB2312" w:hAnsi="仿宋_GB2312" w:cs="仿宋_GB2312" w:hint="eastAsia"/>
          <w:sz w:val="32"/>
          <w:szCs w:val="32"/>
        </w:rPr>
        <w:t>国际创新集聚区建设，优化服务，完善国际化创新支持政策和环境配套。支持在综合保税区内开展保税研发、离岸创新。支持朝阳国际创业投资集聚</w:t>
      </w:r>
      <w:proofErr w:type="gramStart"/>
      <w:r>
        <w:rPr>
          <w:rFonts w:ascii="仿宋_GB2312" w:eastAsia="仿宋_GB2312" w:hAnsi="仿宋_GB2312" w:cs="仿宋_GB2312" w:hint="eastAsia"/>
          <w:sz w:val="32"/>
          <w:szCs w:val="32"/>
        </w:rPr>
        <w:t>区健全</w:t>
      </w:r>
      <w:proofErr w:type="gramEnd"/>
      <w:r>
        <w:rPr>
          <w:rFonts w:ascii="仿宋_GB2312" w:eastAsia="仿宋_GB2312" w:hAnsi="仿宋_GB2312" w:cs="仿宋_GB2312" w:hint="eastAsia"/>
          <w:sz w:val="32"/>
          <w:szCs w:val="32"/>
        </w:rPr>
        <w:t>国际化创新创业生态。鼓励各区基于</w:t>
      </w:r>
      <w:r w:rsidR="008B2CBD">
        <w:rPr>
          <w:rFonts w:ascii="仿宋_GB2312" w:eastAsia="仿宋_GB2312" w:hAnsi="仿宋_GB2312" w:cs="仿宋_GB2312" w:hint="eastAsia"/>
          <w:sz w:val="32"/>
          <w:szCs w:val="32"/>
        </w:rPr>
        <w:t>特色</w:t>
      </w:r>
      <w:r>
        <w:rPr>
          <w:rFonts w:ascii="仿宋_GB2312" w:eastAsia="仿宋_GB2312" w:hAnsi="仿宋_GB2312" w:cs="仿宋_GB2312" w:hint="eastAsia"/>
          <w:sz w:val="32"/>
          <w:szCs w:val="32"/>
        </w:rPr>
        <w:t>优势和国际化基础，深化国际创新合作，探索建设一批国际创新聚集区。</w:t>
      </w:r>
    </w:p>
    <w:p w:rsidR="00C741CE" w:rsidRDefault="008F7018">
      <w:pPr>
        <w:pStyle w:val="2"/>
        <w:ind w:firstLine="640"/>
        <w:rPr>
          <w:rFonts w:ascii="楷体_GB2312" w:hAnsi="楷体"/>
          <w:bCs/>
          <w:szCs w:val="32"/>
        </w:rPr>
      </w:pPr>
      <w:r>
        <w:rPr>
          <w:rFonts w:ascii="楷体_GB2312" w:hAnsi="楷体" w:hint="eastAsia"/>
          <w:bCs/>
          <w:szCs w:val="32"/>
        </w:rPr>
        <w:lastRenderedPageBreak/>
        <w:t>（三）国际科技合作平台建设行动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7.加强北京市国际科技合作基地建设</w:t>
      </w:r>
      <w:r>
        <w:rPr>
          <w:rFonts w:ascii="仿宋_GB2312" w:eastAsia="仿宋_GB2312" w:hAnsi="仿宋_GB2312" w:cs="仿宋_GB2312" w:hint="eastAsia"/>
          <w:sz w:val="32"/>
          <w:szCs w:val="32"/>
        </w:rPr>
        <w:t>。优化北京市国际科技合作基地认定机制，分类培育国际科技合作功能单元，带动各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主体与世界知名大学、科研机构、企业、园区、中介机构等建立并深化合作关系。支持开展国际联合研发、国际技术转移转化、国际科技交流活动，为北京市高精尖产业、未来产业等重点领域高质量发展赋能。</w:t>
      </w:r>
    </w:p>
    <w:p w:rsidR="00912A60" w:rsidRDefault="008F7018">
      <w:pPr>
        <w:spacing w:line="560" w:lineRule="exact"/>
        <w:ind w:firstLine="641"/>
        <w:rPr>
          <w:rFonts w:eastAsia="仿宋_GB2312" w:hAnsi="仿宋_GB2312" w:cs="仿宋_GB2312"/>
          <w:sz w:val="32"/>
        </w:rPr>
      </w:pPr>
      <w:r>
        <w:rPr>
          <w:rFonts w:ascii="仿宋_GB2312" w:eastAsia="仿宋_GB2312" w:hAnsi="仿宋_GB2312" w:cs="仿宋_GB2312" w:hint="eastAsia"/>
          <w:b/>
          <w:sz w:val="32"/>
          <w:szCs w:val="32"/>
        </w:rPr>
        <w:t>8</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持续培育跨境技术转移机构</w:t>
      </w:r>
      <w:r>
        <w:rPr>
          <w:rFonts w:ascii="仿宋_GB2312" w:eastAsia="仿宋_GB2312" w:hAnsi="仿宋_GB2312" w:cs="仿宋_GB2312" w:hint="eastAsia"/>
          <w:sz w:val="32"/>
          <w:szCs w:val="32"/>
        </w:rPr>
        <w:t>。鼓励在京技术转移机构加快海外布局。支持跨境技术转移机构</w:t>
      </w:r>
      <w:r>
        <w:rPr>
          <w:rFonts w:eastAsia="仿宋_GB2312" w:hAnsi="仿宋_GB2312" w:cs="仿宋_GB2312" w:hint="eastAsia"/>
          <w:bCs/>
          <w:sz w:val="32"/>
        </w:rPr>
        <w:t>完善国际技术转移渠道和网络建设，</w:t>
      </w:r>
      <w:r>
        <w:rPr>
          <w:rFonts w:ascii="仿宋_GB2312" w:eastAsia="仿宋_GB2312" w:hAnsi="仿宋_GB2312" w:cs="仿宋_GB2312" w:hint="eastAsia"/>
          <w:sz w:val="32"/>
          <w:szCs w:val="32"/>
        </w:rPr>
        <w:t>提升专业化、国际化服务水平。引导符合条件的科技企业孵化器等创新载体，建立国际项目快速入孵、验证、转化机制。加快北京国际技术交易联盟建设，服务创新成果全球转化应用</w:t>
      </w:r>
      <w:r w:rsidRPr="00E078E1">
        <w:rPr>
          <w:rFonts w:eastAsia="仿宋_GB2312" w:hAnsi="仿宋_GB2312" w:cs="仿宋_GB2312" w:hint="eastAsia"/>
          <w:sz w:val="32"/>
        </w:rPr>
        <w:t>。</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9.推动大科学装置面向全球开放共享</w:t>
      </w:r>
      <w:r>
        <w:rPr>
          <w:rFonts w:ascii="仿宋_GB2312" w:eastAsia="仿宋_GB2312" w:hAnsi="仿宋_GB2312" w:cs="仿宋_GB2312" w:hint="eastAsia"/>
          <w:sz w:val="32"/>
          <w:szCs w:val="32"/>
        </w:rPr>
        <w:t>。鼓励怀柔综合性国家科学中心强化国际创新链接，发挥国家科学中心合作联盟作用，围绕大科学装置运行管理、开放合作等方面加强国际交流，推动构建依托大科学装置的开放共享创新生态。支持怀柔科学城设施平台交流合作，聚焦重大科学问题、基础研究、共性关键技术等议题，举办高水平国际科技研讨活动。支持组织、个人开展国际科技交流合作，发起或参与国际大科学计划和大科学工程。</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10</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支持科技园区加强国际合作</w:t>
      </w:r>
      <w:r>
        <w:rPr>
          <w:rFonts w:ascii="仿宋_GB2312" w:eastAsia="仿宋_GB2312" w:hAnsi="仿宋_GB2312" w:cs="仿宋_GB2312" w:hint="eastAsia"/>
          <w:sz w:val="32"/>
          <w:szCs w:val="32"/>
        </w:rPr>
        <w:t>。加快南非、白俄罗斯等海外科技园区建设发展，更好服务当地创新发展和北京企业“出海”。引导企业、园区与法国索菲亚科技园、卡塔尔</w:t>
      </w:r>
      <w:r>
        <w:rPr>
          <w:rFonts w:ascii="仿宋_GB2312" w:eastAsia="仿宋_GB2312" w:hAnsi="仿宋_GB2312" w:cs="仿宋_GB2312" w:hint="eastAsia"/>
          <w:sz w:val="32"/>
          <w:szCs w:val="32"/>
        </w:rPr>
        <w:lastRenderedPageBreak/>
        <w:t>国</w:t>
      </w:r>
      <w:proofErr w:type="gramStart"/>
      <w:r>
        <w:rPr>
          <w:rFonts w:ascii="仿宋_GB2312" w:eastAsia="仿宋_GB2312" w:hAnsi="仿宋_GB2312" w:cs="仿宋_GB2312" w:hint="eastAsia"/>
          <w:sz w:val="32"/>
          <w:szCs w:val="32"/>
        </w:rPr>
        <w:t>家科技</w:t>
      </w:r>
      <w:proofErr w:type="gramEnd"/>
      <w:r>
        <w:rPr>
          <w:rFonts w:ascii="仿宋_GB2312" w:eastAsia="仿宋_GB2312" w:hAnsi="仿宋_GB2312" w:cs="仿宋_GB2312" w:hint="eastAsia"/>
          <w:sz w:val="32"/>
          <w:szCs w:val="32"/>
        </w:rPr>
        <w:t>园、塞尔维亚BIO4生命科学园等国际园区，以联合共建园区、园区合作等形式，加强创新合作和产业对接，扩大园区国际“朋友圈”，提升国际创新服务效能。</w:t>
      </w:r>
    </w:p>
    <w:p w:rsidR="00C741CE" w:rsidRDefault="008F7018">
      <w:pPr>
        <w:pStyle w:val="2"/>
        <w:ind w:firstLine="640"/>
        <w:rPr>
          <w:rFonts w:ascii="楷体_GB2312" w:hAnsi="楷体"/>
          <w:bCs/>
          <w:szCs w:val="32"/>
        </w:rPr>
      </w:pPr>
      <w:r>
        <w:rPr>
          <w:rFonts w:ascii="楷体_GB2312" w:hAnsi="楷体" w:hint="eastAsia"/>
          <w:bCs/>
          <w:szCs w:val="32"/>
        </w:rPr>
        <w:t>（四）创新主体国际合作提升行动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1</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围绕创新全链条深化国际协同创新</w:t>
      </w:r>
      <w:r>
        <w:rPr>
          <w:rFonts w:ascii="仿宋_GB2312" w:eastAsia="仿宋_GB2312" w:hAnsi="仿宋_GB2312" w:cs="仿宋_GB2312" w:hint="eastAsia"/>
          <w:sz w:val="32"/>
          <w:szCs w:val="32"/>
        </w:rPr>
        <w:t>。支持创新主体对接全球知名科学家和科研机构，围绕数学、物理、化学、生命科学等基础科学领域，深度开展学术研讨和课题研究。发挥好外籍学者“汇智”、北京市杰出青年科学基金等项目作用，支持外籍优秀科研人员在京开展基础研究和科研合作。持续开展国际合作中关村奖评选，促进国际科技交流合作。支持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主体，聚焦新一代信息技术、集成电路、医药健康、新材料、清洁能源、高端仪器、航空航天等领域，与国际知名高校、研究机构、科技企业等开展面向应用的联合研发。围绕量子科技、人工智能、人形机器人、6G通信、脑科学与类脑研究、合成生物制造、细胞与基因治疗等前沿技术领域，设立国际联合研究计划，培育未来产业发展。</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促进外资创新主体在京集聚发展</w:t>
      </w:r>
      <w:r>
        <w:rPr>
          <w:rFonts w:ascii="仿宋_GB2312" w:eastAsia="仿宋_GB2312" w:hAnsi="仿宋_GB2312" w:cs="仿宋_GB2312" w:hint="eastAsia"/>
          <w:sz w:val="32"/>
          <w:szCs w:val="32"/>
        </w:rPr>
        <w:t>。深化落实北京市支持外资研发中心集聚发展系列政策，实施“外资研发激励计划”，推动加快外资研发中心在京落地，布局高水平研发创新，着力实现外资研发中心数量、</w:t>
      </w:r>
      <w:proofErr w:type="gramStart"/>
      <w:r>
        <w:rPr>
          <w:rFonts w:ascii="仿宋_GB2312" w:eastAsia="仿宋_GB2312" w:hAnsi="仿宋_GB2312" w:cs="仿宋_GB2312" w:hint="eastAsia"/>
          <w:sz w:val="32"/>
          <w:szCs w:val="32"/>
        </w:rPr>
        <w:t>能级双</w:t>
      </w:r>
      <w:proofErr w:type="gramEnd"/>
      <w:r>
        <w:rPr>
          <w:rFonts w:ascii="仿宋_GB2312" w:eastAsia="仿宋_GB2312" w:hAnsi="仿宋_GB2312" w:cs="仿宋_GB2312" w:hint="eastAsia"/>
          <w:sz w:val="32"/>
          <w:szCs w:val="32"/>
        </w:rPr>
        <w:t>提升。聚焦医药健康、人工智能等战略性新兴产业和未来产业，加强对接全球</w:t>
      </w:r>
      <w:proofErr w:type="gramStart"/>
      <w:r>
        <w:rPr>
          <w:rFonts w:ascii="仿宋_GB2312" w:eastAsia="仿宋_GB2312" w:hAnsi="仿宋_GB2312" w:cs="仿宋_GB2312" w:hint="eastAsia"/>
          <w:sz w:val="32"/>
          <w:szCs w:val="32"/>
        </w:rPr>
        <w:t>知名科技</w:t>
      </w:r>
      <w:proofErr w:type="gramEnd"/>
      <w:r>
        <w:rPr>
          <w:rFonts w:ascii="仿宋_GB2312" w:eastAsia="仿宋_GB2312" w:hAnsi="仿宋_GB2312" w:cs="仿宋_GB2312" w:hint="eastAsia"/>
          <w:sz w:val="32"/>
          <w:szCs w:val="32"/>
        </w:rPr>
        <w:t>企业，形成对接服务清单，强化服务配套，促进来京创新发展。强化“服务管家”机制，促进外资主体聚集发展，融入北京创新体系。</w:t>
      </w:r>
    </w:p>
    <w:p w:rsidR="00912A60" w:rsidRDefault="008F7018" w:rsidP="00912A60">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13.助力科技创新与产业创新深度融合</w:t>
      </w:r>
      <w:r>
        <w:rPr>
          <w:rFonts w:ascii="仿宋_GB2312" w:eastAsia="仿宋_GB2312" w:hAnsi="仿宋_GB2312" w:cs="仿宋_GB2312" w:hint="eastAsia"/>
          <w:sz w:val="32"/>
          <w:szCs w:val="32"/>
        </w:rPr>
        <w:t>。鼓励科技领军企业聚焦重点国别和全球供应</w:t>
      </w:r>
      <w:proofErr w:type="gramStart"/>
      <w:r>
        <w:rPr>
          <w:rFonts w:ascii="仿宋_GB2312" w:eastAsia="仿宋_GB2312" w:hAnsi="仿宋_GB2312" w:cs="仿宋_GB2312" w:hint="eastAsia"/>
          <w:sz w:val="32"/>
          <w:szCs w:val="32"/>
        </w:rPr>
        <w:t>链重要</w:t>
      </w:r>
      <w:proofErr w:type="gramEnd"/>
      <w:r>
        <w:rPr>
          <w:rFonts w:ascii="仿宋_GB2312" w:eastAsia="仿宋_GB2312" w:hAnsi="仿宋_GB2312" w:cs="仿宋_GB2312" w:hint="eastAsia"/>
          <w:sz w:val="32"/>
          <w:szCs w:val="32"/>
        </w:rPr>
        <w:t>节点区域，布局分支机构、研发中心，加快医药健康、智能网联汽车、商业航天等领域产业国际合作。支持创新主体通过专利合作条约（PCT）、巴黎公约等申请外国专利。探索建立重大科技项目与标准化工作联动机制，</w:t>
      </w:r>
      <w:r w:rsidR="00290A66">
        <w:rPr>
          <w:rFonts w:ascii="仿宋_GB2312" w:eastAsia="仿宋_GB2312" w:hAnsi="仿宋_GB2312" w:cs="仿宋_GB2312" w:hint="eastAsia"/>
          <w:sz w:val="32"/>
          <w:szCs w:val="32"/>
        </w:rPr>
        <w:t>鼓励</w:t>
      </w:r>
      <w:r w:rsidR="00C5550F">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企业、科研机构、高等学校和社会组织参与制定重大技术创新产品和服务标准，参与国际标准制定和国际标准化活动。支持企业参加全球知名、行业重点展览展会，在研发合作、技术转移、项目共建、投资生产等方面达成国际合作。</w:t>
      </w:r>
    </w:p>
    <w:p w:rsidR="00C741CE" w:rsidRDefault="008F7018" w:rsidP="00912A60">
      <w:pPr>
        <w:pStyle w:val="2"/>
        <w:ind w:firstLine="640"/>
        <w:rPr>
          <w:rFonts w:ascii="楷体_GB2312" w:hAnsi="楷体"/>
          <w:bCs/>
          <w:szCs w:val="32"/>
        </w:rPr>
      </w:pPr>
      <w:r>
        <w:rPr>
          <w:rFonts w:ascii="楷体_GB2312" w:hAnsi="楷体" w:hint="eastAsia"/>
          <w:bCs/>
          <w:szCs w:val="32"/>
        </w:rPr>
        <w:t>（五）开放创新生态卓越行动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4</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优化提升知识产权环境</w:t>
      </w:r>
      <w:r>
        <w:rPr>
          <w:rFonts w:ascii="仿宋_GB2312" w:eastAsia="仿宋_GB2312" w:hAnsi="仿宋_GB2312" w:cs="仿宋_GB2312" w:hint="eastAsia"/>
          <w:sz w:val="32"/>
          <w:szCs w:val="32"/>
        </w:rPr>
        <w:t>。支持境外知识产权服务机构、仲裁机构等依法在本市设立机构、开展业务，营造与国际接轨的知识产权保护环境。积极对接世界知识产权组织、欧洲专利局、国际商标协会等，支持开展培训交流，促进业务对接。探索完善知识产权融资模式，深化知识产权保险服务体系建设，鼓励保险机构拓展海外知识产权保险等服务。指导和支持各类科技园区开展海外知识产权维权，提升知识产权公共服务能力。</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15.提升人才国际化发展服务水平</w:t>
      </w:r>
      <w:r>
        <w:rPr>
          <w:rFonts w:ascii="仿宋_GB2312" w:eastAsia="仿宋_GB2312" w:hAnsi="仿宋_GB2312" w:cs="仿宋_GB2312" w:hint="eastAsia"/>
          <w:sz w:val="32"/>
          <w:szCs w:val="32"/>
        </w:rPr>
        <w:t>。提高国际化</w:t>
      </w:r>
      <w:proofErr w:type="gramStart"/>
      <w:r>
        <w:rPr>
          <w:rFonts w:ascii="仿宋_GB2312" w:eastAsia="仿宋_GB2312" w:hAnsi="仿宋_GB2312" w:cs="仿宋_GB2312" w:hint="eastAsia"/>
          <w:sz w:val="32"/>
          <w:szCs w:val="32"/>
        </w:rPr>
        <w:t>人才引育水平</w:t>
      </w:r>
      <w:proofErr w:type="gramEnd"/>
      <w:r>
        <w:rPr>
          <w:rFonts w:ascii="仿宋_GB2312" w:eastAsia="仿宋_GB2312" w:hAnsi="仿宋_GB2312" w:cs="仿宋_GB2312" w:hint="eastAsia"/>
          <w:sz w:val="32"/>
          <w:szCs w:val="32"/>
        </w:rPr>
        <w:t>，支持各类人才开展国际创新交流与科技合作，助力拓展国际视野、提升国际化能力。持续拓展北京市国际职业资格认可目录、国家服务业扩大开放综合示范区和中国（北京）自由贸易试验区建设人力资源开发目录，完善国际人才</w:t>
      </w:r>
      <w:r>
        <w:rPr>
          <w:rFonts w:ascii="仿宋_GB2312" w:eastAsia="仿宋_GB2312" w:hAnsi="仿宋_GB2312" w:cs="仿宋_GB2312" w:hint="eastAsia"/>
          <w:sz w:val="32"/>
          <w:szCs w:val="32"/>
        </w:rPr>
        <w:lastRenderedPageBreak/>
        <w:t>认定与服务保障。在全市范围推广外国人工作许可、工作类居留许可“一口受理、并联审批”，推动外国人数字身份认证工作，分级推进涉外政务服务场景应用，进一步提升外国企业相关高级管理人员及其家属来京便利性。持续推动国际人才创业载体、</w:t>
      </w:r>
      <w:r w:rsidR="00462A3A">
        <w:rPr>
          <w:rFonts w:ascii="仿宋_GB2312" w:eastAsia="仿宋_GB2312" w:hAnsi="仿宋_GB2312" w:cs="仿宋_GB2312" w:hint="eastAsia"/>
          <w:sz w:val="32"/>
          <w:szCs w:val="32"/>
        </w:rPr>
        <w:t>高品质</w:t>
      </w:r>
      <w:r>
        <w:rPr>
          <w:rFonts w:ascii="仿宋_GB2312" w:eastAsia="仿宋_GB2312" w:hAnsi="仿宋_GB2312" w:cs="仿宋_GB2312" w:hint="eastAsia"/>
          <w:sz w:val="32"/>
          <w:szCs w:val="32"/>
        </w:rPr>
        <w:t>人才社区等建设。</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16.完善国际化</w:t>
      </w:r>
      <w:r>
        <w:rPr>
          <w:rFonts w:ascii="仿宋_GB2312" w:eastAsia="仿宋_GB2312" w:hAnsi="仿宋_GB2312" w:cs="仿宋_GB2312"/>
          <w:b/>
          <w:sz w:val="32"/>
          <w:szCs w:val="32"/>
        </w:rPr>
        <w:t>科技金融</w:t>
      </w:r>
      <w:r>
        <w:rPr>
          <w:rFonts w:ascii="仿宋_GB2312" w:eastAsia="仿宋_GB2312" w:hAnsi="仿宋_GB2312" w:cs="仿宋_GB2312" w:hint="eastAsia"/>
          <w:b/>
          <w:sz w:val="32"/>
          <w:szCs w:val="32"/>
        </w:rPr>
        <w:t>服务</w:t>
      </w:r>
      <w:r>
        <w:rPr>
          <w:rFonts w:ascii="仿宋_GB2312" w:eastAsia="仿宋_GB2312" w:hAnsi="仿宋_GB2312" w:cs="仿宋_GB2312"/>
          <w:b/>
          <w:sz w:val="32"/>
          <w:szCs w:val="32"/>
        </w:rPr>
        <w:t>机制</w:t>
      </w:r>
      <w:r>
        <w:rPr>
          <w:rFonts w:ascii="仿宋_GB2312" w:eastAsia="仿宋_GB2312" w:hAnsi="仿宋_GB2312" w:cs="仿宋_GB2312" w:hint="eastAsia"/>
          <w:sz w:val="32"/>
          <w:szCs w:val="32"/>
        </w:rPr>
        <w:t>。加快中关村</w:t>
      </w:r>
      <w:proofErr w:type="gramStart"/>
      <w:r>
        <w:rPr>
          <w:rFonts w:ascii="仿宋_GB2312" w:eastAsia="仿宋_GB2312" w:hAnsi="仿宋_GB2312" w:cs="仿宋_GB2312" w:hint="eastAsia"/>
          <w:sz w:val="32"/>
          <w:szCs w:val="32"/>
        </w:rPr>
        <w:t>科创金融</w:t>
      </w:r>
      <w:proofErr w:type="gramEnd"/>
      <w:r>
        <w:rPr>
          <w:rFonts w:ascii="仿宋_GB2312" w:eastAsia="仿宋_GB2312" w:hAnsi="仿宋_GB2312" w:cs="仿宋_GB2312" w:hint="eastAsia"/>
          <w:sz w:val="32"/>
          <w:szCs w:val="32"/>
        </w:rPr>
        <w:t>改革试验区建设。强化对接国外</w:t>
      </w:r>
      <w:r>
        <w:rPr>
          <w:rFonts w:ascii="仿宋_GB2312" w:eastAsia="仿宋_GB2312" w:hAnsi="仿宋_GB2312" w:cs="仿宋_GB2312"/>
          <w:sz w:val="32"/>
          <w:szCs w:val="32"/>
        </w:rPr>
        <w:t>大型金</w:t>
      </w:r>
      <w:r>
        <w:rPr>
          <w:rFonts w:ascii="仿宋_GB2312" w:eastAsia="仿宋_GB2312" w:hAnsi="仿宋_GB2312" w:cs="仿宋_GB2312" w:hint="eastAsia"/>
          <w:sz w:val="32"/>
          <w:szCs w:val="32"/>
        </w:rPr>
        <w:t>融机构，建立定期交流沟通机制。支持科技创新型企业在符合监管部门要求的前提下到境外上市、发债、并购等。鼓励国家级金融科技示范区、</w:t>
      </w:r>
      <w:r>
        <w:rPr>
          <w:rFonts w:ascii="仿宋_GB2312" w:eastAsia="仿宋_GB2312" w:hAnsi="仿宋_GB2312" w:cs="仿宋_GB2312"/>
          <w:sz w:val="32"/>
          <w:szCs w:val="32"/>
        </w:rPr>
        <w:t>朝阳国际</w:t>
      </w:r>
      <w:r>
        <w:rPr>
          <w:rFonts w:ascii="仿宋_GB2312" w:eastAsia="仿宋_GB2312" w:hAnsi="仿宋_GB2312" w:cs="仿宋_GB2312" w:hint="eastAsia"/>
          <w:sz w:val="32"/>
          <w:szCs w:val="32"/>
        </w:rPr>
        <w:t>创业投资</w:t>
      </w:r>
      <w:r>
        <w:rPr>
          <w:rFonts w:ascii="仿宋_GB2312" w:eastAsia="仿宋_GB2312" w:hAnsi="仿宋_GB2312" w:cs="仿宋_GB2312"/>
          <w:sz w:val="32"/>
          <w:szCs w:val="32"/>
        </w:rPr>
        <w:t>集聚区</w:t>
      </w:r>
      <w:r>
        <w:rPr>
          <w:rFonts w:ascii="仿宋_GB2312" w:eastAsia="仿宋_GB2312" w:hAnsi="仿宋_GB2312" w:cs="仿宋_GB2312" w:hint="eastAsia"/>
          <w:sz w:val="32"/>
          <w:szCs w:val="32"/>
        </w:rPr>
        <w:t>等，与伦敦金融城、迪拜国际金融中心等集聚区，建立定期联络机制。支持商业银行等金融机构，结合专精特新中小企业特点优化金融产品和服务，开发信贷、担保、供应</w:t>
      </w:r>
      <w:proofErr w:type="gramStart"/>
      <w:r>
        <w:rPr>
          <w:rFonts w:ascii="仿宋_GB2312" w:eastAsia="仿宋_GB2312" w:hAnsi="仿宋_GB2312" w:cs="仿宋_GB2312" w:hint="eastAsia"/>
          <w:sz w:val="32"/>
          <w:szCs w:val="32"/>
        </w:rPr>
        <w:t>链金融</w:t>
      </w:r>
      <w:proofErr w:type="gramEnd"/>
      <w:r>
        <w:rPr>
          <w:rFonts w:ascii="仿宋_GB2312" w:eastAsia="仿宋_GB2312" w:hAnsi="仿宋_GB2312" w:cs="仿宋_GB2312" w:hint="eastAsia"/>
          <w:sz w:val="32"/>
          <w:szCs w:val="32"/>
        </w:rPr>
        <w:t>等专项业务。</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17.</w:t>
      </w:r>
      <w:r w:rsidR="008B2CBD">
        <w:rPr>
          <w:rFonts w:ascii="仿宋_GB2312" w:eastAsia="仿宋_GB2312" w:hAnsi="仿宋_GB2312" w:cs="仿宋_GB2312" w:hint="eastAsia"/>
          <w:b/>
          <w:sz w:val="32"/>
          <w:szCs w:val="32"/>
        </w:rPr>
        <w:t>深入</w:t>
      </w:r>
      <w:r>
        <w:rPr>
          <w:rFonts w:ascii="仿宋_GB2312" w:eastAsia="仿宋_GB2312" w:hAnsi="仿宋_GB2312" w:cs="仿宋_GB2312" w:hint="eastAsia"/>
          <w:b/>
          <w:sz w:val="32"/>
          <w:szCs w:val="32"/>
        </w:rPr>
        <w:t>推动政策制度创新与改革</w:t>
      </w:r>
      <w:r>
        <w:rPr>
          <w:rFonts w:ascii="仿宋_GB2312" w:eastAsia="仿宋_GB2312" w:hAnsi="仿宋_GB2312" w:cs="仿宋_GB2312" w:hint="eastAsia"/>
          <w:sz w:val="32"/>
          <w:szCs w:val="32"/>
        </w:rPr>
        <w:t>。围绕营造更加利于国际人才、技术、资本、数据等创新要素资源自由流动、高效配置的环境，结合国家政策调整与优化，主动对接改革任务，积极争取在京落地。</w:t>
      </w:r>
      <w:r w:rsidR="00612267" w:rsidRPr="00612267">
        <w:rPr>
          <w:rFonts w:ascii="仿宋_GB2312" w:eastAsia="仿宋_GB2312" w:hAnsi="仿宋_GB2312" w:cs="仿宋_GB2312" w:hint="eastAsia"/>
          <w:sz w:val="32"/>
          <w:szCs w:val="32"/>
        </w:rPr>
        <w:t>推动中关村先行先</w:t>
      </w:r>
      <w:proofErr w:type="gramStart"/>
      <w:r w:rsidR="00612267" w:rsidRPr="00612267">
        <w:rPr>
          <w:rFonts w:ascii="仿宋_GB2312" w:eastAsia="仿宋_GB2312" w:hAnsi="仿宋_GB2312" w:cs="仿宋_GB2312" w:hint="eastAsia"/>
          <w:sz w:val="32"/>
          <w:szCs w:val="32"/>
        </w:rPr>
        <w:t>试改革</w:t>
      </w:r>
      <w:proofErr w:type="gramEnd"/>
      <w:r w:rsidR="00612267" w:rsidRPr="00612267">
        <w:rPr>
          <w:rFonts w:ascii="仿宋_GB2312" w:eastAsia="仿宋_GB2312" w:hAnsi="仿宋_GB2312" w:cs="仿宋_GB2312" w:hint="eastAsia"/>
          <w:sz w:val="32"/>
          <w:szCs w:val="32"/>
        </w:rPr>
        <w:t>措施向示范区全域推广实施，研究谋划新的先行先</w:t>
      </w:r>
      <w:proofErr w:type="gramStart"/>
      <w:r w:rsidR="00612267" w:rsidRPr="00612267">
        <w:rPr>
          <w:rFonts w:ascii="仿宋_GB2312" w:eastAsia="仿宋_GB2312" w:hAnsi="仿宋_GB2312" w:cs="仿宋_GB2312" w:hint="eastAsia"/>
          <w:sz w:val="32"/>
          <w:szCs w:val="32"/>
        </w:rPr>
        <w:t>试改革</w:t>
      </w:r>
      <w:proofErr w:type="gramEnd"/>
      <w:r w:rsidR="00612267" w:rsidRPr="00612267">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w:t>
      </w:r>
    </w:p>
    <w:p w:rsidR="00C741CE" w:rsidRDefault="008F7018">
      <w:pPr>
        <w:pStyle w:val="2"/>
        <w:ind w:firstLine="640"/>
        <w:rPr>
          <w:rFonts w:ascii="楷体_GB2312" w:hAnsi="楷体"/>
          <w:bCs/>
          <w:szCs w:val="32"/>
        </w:rPr>
      </w:pPr>
      <w:r>
        <w:rPr>
          <w:rFonts w:ascii="楷体_GB2312" w:hAnsi="楷体" w:hint="eastAsia"/>
          <w:bCs/>
          <w:szCs w:val="32"/>
        </w:rPr>
        <w:t>（六）国际科技交流合作促进行动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18.坚持高水平举办中关村论坛</w:t>
      </w:r>
      <w:r>
        <w:rPr>
          <w:rFonts w:ascii="仿宋_GB2312" w:eastAsia="仿宋_GB2312" w:hAnsi="仿宋_GB2312" w:cs="仿宋_GB2312" w:hint="eastAsia"/>
          <w:sz w:val="32"/>
          <w:szCs w:val="32"/>
        </w:rPr>
        <w:t>。坚持高端引领，将中关村论坛打造成为全球创新思想、发展理念的交流平台，新科技、新产业的首发平台，国内外新技术、新产品的展览交易平台。支持国际组织机构、知名企业等主体，承办平行论坛、发布重大成果、展示新成果、参与技术交易和前沿科技</w:t>
      </w:r>
      <w:r>
        <w:rPr>
          <w:rFonts w:ascii="仿宋_GB2312" w:eastAsia="仿宋_GB2312" w:hAnsi="仿宋_GB2312" w:cs="仿宋_GB2312" w:hint="eastAsia"/>
          <w:sz w:val="32"/>
          <w:szCs w:val="32"/>
        </w:rPr>
        <w:lastRenderedPageBreak/>
        <w:t>大赛，持续扩大海外举办平行论坛规模，打造全球举办、全球参与、全球传播的高水平开放平台。</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19.</w:t>
      </w:r>
      <w:r w:rsidR="008B2CBD">
        <w:rPr>
          <w:rFonts w:ascii="仿宋_GB2312" w:eastAsia="仿宋_GB2312" w:hAnsi="仿宋_GB2312" w:cs="仿宋_GB2312" w:hint="eastAsia"/>
          <w:b/>
          <w:sz w:val="32"/>
          <w:szCs w:val="32"/>
        </w:rPr>
        <w:t>构建</w:t>
      </w:r>
      <w:r>
        <w:rPr>
          <w:rFonts w:ascii="仿宋_GB2312" w:eastAsia="仿宋_GB2312" w:hAnsi="仿宋_GB2312" w:cs="仿宋_GB2312" w:hint="eastAsia"/>
          <w:b/>
          <w:sz w:val="32"/>
          <w:szCs w:val="32"/>
        </w:rPr>
        <w:t>高水平国际科技活动矩阵</w:t>
      </w:r>
      <w:r>
        <w:rPr>
          <w:rFonts w:ascii="仿宋_GB2312" w:eastAsia="仿宋_GB2312" w:hAnsi="仿宋_GB2312" w:cs="仿宋_GB2312" w:hint="eastAsia"/>
          <w:sz w:val="32"/>
          <w:szCs w:val="32"/>
        </w:rPr>
        <w:t>。坚持“首善标准”，办好国际科技园及创新区域协会（IASP）2025年世界大会。支持高水平举办全球数字经济大会、国际基础科学大会、北京智源大会、国际生物医药产业创新北京论坛、世界机器人大会、中国科幻大会、全球能源转型大会等活动，培育打造一批高端化、品牌化国际会议活动。持续高标准、高规格举办北京国际学术交流季，聚焦脑科学、量子</w:t>
      </w:r>
      <w:r w:rsidR="000E0746">
        <w:rPr>
          <w:rFonts w:ascii="仿宋_GB2312" w:eastAsia="仿宋_GB2312" w:hAnsi="仿宋_GB2312" w:cs="仿宋_GB2312" w:hint="eastAsia"/>
          <w:sz w:val="32"/>
          <w:szCs w:val="32"/>
        </w:rPr>
        <w:t>科技</w:t>
      </w:r>
      <w:r>
        <w:rPr>
          <w:rFonts w:ascii="仿宋_GB2312" w:eastAsia="仿宋_GB2312" w:hAnsi="仿宋_GB2312" w:cs="仿宋_GB2312" w:hint="eastAsia"/>
          <w:sz w:val="32"/>
          <w:szCs w:val="32"/>
        </w:rPr>
        <w:t>、物质科学等前沿领域，打造国际前沿学术高端交流平台。持续办好中意创新合作周等政府</w:t>
      </w:r>
      <w:proofErr w:type="gramStart"/>
      <w:r>
        <w:rPr>
          <w:rFonts w:ascii="仿宋_GB2312" w:eastAsia="仿宋_GB2312" w:hAnsi="仿宋_GB2312" w:cs="仿宋_GB2312" w:hint="eastAsia"/>
          <w:sz w:val="32"/>
          <w:szCs w:val="32"/>
        </w:rPr>
        <w:t>间机制</w:t>
      </w:r>
      <w:proofErr w:type="gramEnd"/>
      <w:r>
        <w:rPr>
          <w:rFonts w:ascii="仿宋_GB2312" w:eastAsia="仿宋_GB2312" w:hAnsi="仿宋_GB2312" w:cs="仿宋_GB2312" w:hint="eastAsia"/>
          <w:sz w:val="32"/>
          <w:szCs w:val="32"/>
        </w:rPr>
        <w:t>活动，提升科技外交官创新资源对接活动层级。支持创新主体牵头举办、承办高水平国际会议活动。</w:t>
      </w:r>
    </w:p>
    <w:p w:rsidR="00C741CE" w:rsidRDefault="008F7018">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sz w:val="32"/>
          <w:szCs w:val="32"/>
        </w:rPr>
        <w:t>20.打造具有国际影响力的学术期刊</w:t>
      </w:r>
      <w:r>
        <w:rPr>
          <w:rFonts w:ascii="仿宋_GB2312" w:eastAsia="仿宋_GB2312" w:hAnsi="仿宋_GB2312" w:cs="仿宋_GB2312" w:hint="eastAsia"/>
          <w:sz w:val="32"/>
          <w:szCs w:val="32"/>
        </w:rPr>
        <w:t>。设立高端国际科技期刊资助计划，支持高校院所创办国际一流学术期刊。支持优秀期刊进入国际权威数据库收录名录。支持科技期刊出版机构创新模式，促进高水平科技期刊回归。深化开放科学北京实践，加快“北京国际科技创新中心开放科学集成服务平台”建设，打造集科技论文、仪器设备和软件平台等创新要素的集成服务平台。</w:t>
      </w:r>
    </w:p>
    <w:p w:rsidR="00C741CE" w:rsidRDefault="008F7018">
      <w:pPr>
        <w:pStyle w:val="1"/>
        <w:ind w:firstLine="640"/>
      </w:pPr>
      <w:r>
        <w:rPr>
          <w:rFonts w:hint="eastAsia"/>
        </w:rPr>
        <w:t>三、保障措施</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（一）强化组织保障</w:t>
      </w:r>
      <w:r>
        <w:rPr>
          <w:rFonts w:ascii="仿宋_GB2312" w:eastAsia="仿宋_GB2312" w:hAnsi="仿宋_GB2312" w:cs="仿宋_GB2312" w:hint="eastAsia"/>
          <w:sz w:val="32"/>
          <w:szCs w:val="32"/>
        </w:rPr>
        <w:t>。坚持党对科技创新国际化工作的领导，充分发挥市委科技</w:t>
      </w:r>
      <w:proofErr w:type="gramStart"/>
      <w:r>
        <w:rPr>
          <w:rFonts w:ascii="仿宋_GB2312" w:eastAsia="仿宋_GB2312" w:hAnsi="仿宋_GB2312" w:cs="仿宋_GB2312" w:hint="eastAsia"/>
          <w:sz w:val="32"/>
          <w:szCs w:val="32"/>
        </w:rPr>
        <w:t>委指导</w:t>
      </w:r>
      <w:proofErr w:type="gramEnd"/>
      <w:r>
        <w:rPr>
          <w:rFonts w:ascii="仿宋_GB2312" w:eastAsia="仿宋_GB2312" w:hAnsi="仿宋_GB2312" w:cs="仿宋_GB2312" w:hint="eastAsia"/>
          <w:sz w:val="32"/>
          <w:szCs w:val="32"/>
        </w:rPr>
        <w:t>作用，加强对科技创新国际化提升工作中重大事项的统筹协调。推动建立市区科技领域</w:t>
      </w:r>
      <w:r>
        <w:rPr>
          <w:rFonts w:ascii="仿宋_GB2312" w:eastAsia="仿宋_GB2312" w:hAnsi="仿宋_GB2312" w:cs="仿宋_GB2312" w:hint="eastAsia"/>
          <w:sz w:val="32"/>
          <w:szCs w:val="32"/>
        </w:rPr>
        <w:lastRenderedPageBreak/>
        <w:t>国际化工作体系，定期召开推进会，加强工作调度。引入开放多元、广泛参与的战略咨询力量，为北京创新国际化提供专业化决策支撑。</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（二）增强政策引导</w:t>
      </w:r>
      <w:r>
        <w:rPr>
          <w:rFonts w:ascii="仿宋_GB2312" w:eastAsia="仿宋_GB2312" w:hAnsi="仿宋_GB2312" w:cs="仿宋_GB2312" w:hint="eastAsia"/>
          <w:sz w:val="32"/>
          <w:szCs w:val="32"/>
        </w:rPr>
        <w:t>。持续完善市级财政资金政策体系，</w:t>
      </w:r>
      <w:r w:rsidR="008B2CBD">
        <w:rPr>
          <w:rFonts w:ascii="仿宋_GB2312" w:eastAsia="仿宋_GB2312" w:hAnsi="仿宋_GB2312" w:cs="仿宋_GB2312" w:hint="eastAsia"/>
          <w:sz w:val="32"/>
          <w:szCs w:val="32"/>
        </w:rPr>
        <w:t>充分发挥政府资金政策引导作用，带动社会资本力量积极参与。</w:t>
      </w:r>
      <w:r>
        <w:rPr>
          <w:rFonts w:ascii="仿宋_GB2312" w:eastAsia="仿宋_GB2312" w:hAnsi="仿宋_GB2312" w:cs="仿宋_GB2312" w:hint="eastAsia"/>
          <w:sz w:val="32"/>
          <w:szCs w:val="32"/>
        </w:rPr>
        <w:t>支持</w:t>
      </w:r>
      <w:r w:rsidR="008B2CBD">
        <w:rPr>
          <w:rFonts w:ascii="仿宋_GB2312" w:eastAsia="仿宋_GB2312" w:hAnsi="仿宋_GB2312" w:cs="仿宋_GB2312" w:hint="eastAsia"/>
          <w:sz w:val="32"/>
          <w:szCs w:val="32"/>
        </w:rPr>
        <w:t>高质量</w:t>
      </w:r>
      <w:r>
        <w:rPr>
          <w:rFonts w:ascii="仿宋_GB2312" w:eastAsia="仿宋_GB2312" w:hAnsi="仿宋_GB2312" w:cs="仿宋_GB2312" w:hint="eastAsia"/>
          <w:sz w:val="32"/>
          <w:szCs w:val="32"/>
        </w:rPr>
        <w:t>“引进来”、</w:t>
      </w:r>
      <w:r w:rsidR="008B2CBD">
        <w:rPr>
          <w:rFonts w:ascii="仿宋_GB2312" w:eastAsia="仿宋_GB2312" w:hAnsi="仿宋_GB2312" w:cs="仿宋_GB2312" w:hint="eastAsia"/>
          <w:sz w:val="32"/>
          <w:szCs w:val="32"/>
        </w:rPr>
        <w:t>高水平</w:t>
      </w:r>
      <w:r>
        <w:rPr>
          <w:rFonts w:ascii="仿宋_GB2312" w:eastAsia="仿宋_GB2312" w:hAnsi="仿宋_GB2312" w:cs="仿宋_GB2312" w:hint="eastAsia"/>
          <w:sz w:val="32"/>
          <w:szCs w:val="32"/>
        </w:rPr>
        <w:t>“走出去”。鼓励各区立足实际情况，在国际化项目空间保障、设备条件供应、软环境建设等方面，研究提供更多配套支持政策。</w:t>
      </w:r>
    </w:p>
    <w:p w:rsidR="00C741CE" w:rsidRDefault="008F7018">
      <w:pPr>
        <w:spacing w:line="560" w:lineRule="exact"/>
        <w:ind w:firstLine="641"/>
        <w:rPr>
          <w:rFonts w:ascii="仿宋_GB2312" w:eastAsia="仿宋_GB2312" w:hAnsi="仿宋_GB2312" w:cs="仿宋_GB2312"/>
          <w:sz w:val="32"/>
          <w:szCs w:val="32"/>
        </w:rPr>
      </w:pPr>
      <w:r>
        <w:rPr>
          <w:rFonts w:ascii="楷体_GB2312" w:eastAsia="楷体_GB2312" w:hAnsi="仿宋_GB2312" w:cs="仿宋_GB2312" w:hint="eastAsia"/>
          <w:sz w:val="32"/>
          <w:szCs w:val="32"/>
        </w:rPr>
        <w:t>（三）加大监督评估</w:t>
      </w:r>
      <w:r>
        <w:rPr>
          <w:rFonts w:ascii="仿宋_GB2312" w:eastAsia="仿宋_GB2312" w:hAnsi="仿宋_GB2312" w:cs="仿宋_GB2312" w:hint="eastAsia"/>
          <w:sz w:val="32"/>
          <w:szCs w:val="32"/>
        </w:rPr>
        <w:t>。建立协同推进机制，制订行动计划任务实施方案，分解行动计划目标和任务，明确责任和时间安排。建立行动计划落地实施跟踪评估机制，开展监测评估，加强重点任务督促督办，在分</w:t>
      </w:r>
      <w:proofErr w:type="gramStart"/>
      <w:r>
        <w:rPr>
          <w:rFonts w:ascii="仿宋_GB2312" w:eastAsia="仿宋_GB2312" w:hAnsi="仿宋_GB2312" w:cs="仿宋_GB2312" w:hint="eastAsia"/>
          <w:sz w:val="32"/>
          <w:szCs w:val="32"/>
        </w:rPr>
        <w:t>园创新</w:t>
      </w:r>
      <w:proofErr w:type="gramEnd"/>
      <w:r>
        <w:rPr>
          <w:rFonts w:ascii="仿宋_GB2312" w:eastAsia="仿宋_GB2312" w:hAnsi="仿宋_GB2312" w:cs="仿宋_GB2312" w:hint="eastAsia"/>
          <w:sz w:val="32"/>
          <w:szCs w:val="32"/>
        </w:rPr>
        <w:t>发展综合评价中提高国际化水平考核权重，确保各项任务取得实效。</w:t>
      </w:r>
    </w:p>
    <w:p w:rsidR="00C741CE" w:rsidRDefault="008F7018" w:rsidP="00742420">
      <w:pPr>
        <w:spacing w:line="560" w:lineRule="exact"/>
        <w:ind w:firstLine="641"/>
      </w:pPr>
      <w:r>
        <w:rPr>
          <w:rFonts w:ascii="楷体_GB2312" w:eastAsia="楷体_GB2312" w:hAnsi="仿宋_GB2312" w:cs="仿宋_GB2312" w:hint="eastAsia"/>
          <w:sz w:val="32"/>
          <w:szCs w:val="32"/>
        </w:rPr>
        <w:t>（四）积极宣传引导</w:t>
      </w:r>
      <w:r>
        <w:rPr>
          <w:rFonts w:ascii="仿宋_GB2312" w:eastAsia="仿宋_GB2312" w:hAnsi="仿宋_GB2312" w:cs="仿宋_GB2312" w:hint="eastAsia"/>
          <w:sz w:val="32"/>
          <w:szCs w:val="32"/>
        </w:rPr>
        <w:t>。加大宣传力度，对北京扩大开放创新、提升国际化发展的政策举措与成效、创新主体国际化发展的创新做法与典型案例，及时总结、宣传推广。充分利用国际会议活动、国内外</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等渠道，积极开展宣传推介，营造科技创新国际合作氛围。</w:t>
      </w:r>
    </w:p>
    <w:sectPr w:rsidR="00C741CE" w:rsidSect="00742420">
      <w:footerReference w:type="default" r:id="rId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18" w:rsidRDefault="008F7018">
      <w:r>
        <w:separator/>
      </w:r>
    </w:p>
  </w:endnote>
  <w:endnote w:type="continuationSeparator" w:id="0">
    <w:p w:rsidR="008F7018" w:rsidRDefault="008F7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0AFF" w:usb1="00007843" w:usb2="00000001" w:usb3="00000000" w:csb0="000001B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15506"/>
      <w:docPartObj>
        <w:docPartGallery w:val="AutoText"/>
      </w:docPartObj>
    </w:sdtPr>
    <w:sdtContent>
      <w:p w:rsidR="00C741CE" w:rsidRDefault="003C056A">
        <w:pPr>
          <w:pStyle w:val="a5"/>
          <w:jc w:val="center"/>
        </w:pPr>
        <w:r w:rsidRPr="003C056A">
          <w:fldChar w:fldCharType="begin"/>
        </w:r>
        <w:r w:rsidR="008F7018">
          <w:instrText xml:space="preserve"> PAGE   \* MERGEFORMAT </w:instrText>
        </w:r>
        <w:r w:rsidRPr="003C056A">
          <w:fldChar w:fldCharType="separate"/>
        </w:r>
        <w:r w:rsidR="00A617CA" w:rsidRPr="00A617CA">
          <w:rPr>
            <w:noProof/>
            <w:lang w:val="zh-CN"/>
          </w:rPr>
          <w:t>1</w:t>
        </w:r>
        <w:r>
          <w:rPr>
            <w:lang w:val="zh-CN"/>
          </w:rPr>
          <w:fldChar w:fldCharType="end"/>
        </w:r>
      </w:p>
    </w:sdtContent>
  </w:sdt>
  <w:p w:rsidR="00C741CE" w:rsidRDefault="00C741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CE" w:rsidRDefault="008F7018">
      <w:r>
        <w:separator/>
      </w:r>
    </w:p>
  </w:footnote>
  <w:footnote w:type="continuationSeparator" w:id="0">
    <w:p w:rsidR="00C741CE" w:rsidRDefault="008F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YxMTlhMTQwNmRmYjk5YzE1MzJkYjZmM2YyOTA0NzMifQ=="/>
  </w:docVars>
  <w:rsids>
    <w:rsidRoot w:val="00DB30B9"/>
    <w:rsid w:val="00016780"/>
    <w:rsid w:val="000437A1"/>
    <w:rsid w:val="00093DA5"/>
    <w:rsid w:val="000B1194"/>
    <w:rsid w:val="000C410E"/>
    <w:rsid w:val="000D5CE9"/>
    <w:rsid w:val="000E06A8"/>
    <w:rsid w:val="000E0746"/>
    <w:rsid w:val="00131609"/>
    <w:rsid w:val="00151700"/>
    <w:rsid w:val="00152AFC"/>
    <w:rsid w:val="00190AC7"/>
    <w:rsid w:val="00192A1C"/>
    <w:rsid w:val="001B18AB"/>
    <w:rsid w:val="001D3BD5"/>
    <w:rsid w:val="001D4760"/>
    <w:rsid w:val="001E2F03"/>
    <w:rsid w:val="002174C5"/>
    <w:rsid w:val="00230D7F"/>
    <w:rsid w:val="00237A4A"/>
    <w:rsid w:val="00290A66"/>
    <w:rsid w:val="00295A60"/>
    <w:rsid w:val="002C468B"/>
    <w:rsid w:val="00347481"/>
    <w:rsid w:val="003537F2"/>
    <w:rsid w:val="00361B92"/>
    <w:rsid w:val="003762E1"/>
    <w:rsid w:val="00393F86"/>
    <w:rsid w:val="003A49EB"/>
    <w:rsid w:val="003C056A"/>
    <w:rsid w:val="003E7219"/>
    <w:rsid w:val="00462A3A"/>
    <w:rsid w:val="004701A8"/>
    <w:rsid w:val="004A0A69"/>
    <w:rsid w:val="004E79E1"/>
    <w:rsid w:val="005017B6"/>
    <w:rsid w:val="00503E20"/>
    <w:rsid w:val="00504AD5"/>
    <w:rsid w:val="00533948"/>
    <w:rsid w:val="00534BAF"/>
    <w:rsid w:val="00591FFC"/>
    <w:rsid w:val="00596539"/>
    <w:rsid w:val="005A6C28"/>
    <w:rsid w:val="005B57C0"/>
    <w:rsid w:val="005B75A0"/>
    <w:rsid w:val="005D1584"/>
    <w:rsid w:val="005E5BB2"/>
    <w:rsid w:val="00612267"/>
    <w:rsid w:val="00637E1A"/>
    <w:rsid w:val="0064673F"/>
    <w:rsid w:val="00647067"/>
    <w:rsid w:val="006531E2"/>
    <w:rsid w:val="006708C1"/>
    <w:rsid w:val="00685DEA"/>
    <w:rsid w:val="006A0784"/>
    <w:rsid w:val="006B0CC6"/>
    <w:rsid w:val="006E4C04"/>
    <w:rsid w:val="00706143"/>
    <w:rsid w:val="00707580"/>
    <w:rsid w:val="0072041C"/>
    <w:rsid w:val="00742420"/>
    <w:rsid w:val="007B2535"/>
    <w:rsid w:val="007B3637"/>
    <w:rsid w:val="007C1D5F"/>
    <w:rsid w:val="007F7FA6"/>
    <w:rsid w:val="008106F4"/>
    <w:rsid w:val="00816F29"/>
    <w:rsid w:val="008267FF"/>
    <w:rsid w:val="00847584"/>
    <w:rsid w:val="00851327"/>
    <w:rsid w:val="00881985"/>
    <w:rsid w:val="00883A43"/>
    <w:rsid w:val="00895A9D"/>
    <w:rsid w:val="008B2CBD"/>
    <w:rsid w:val="008B538C"/>
    <w:rsid w:val="008C1015"/>
    <w:rsid w:val="008D26A4"/>
    <w:rsid w:val="008F7018"/>
    <w:rsid w:val="0091189F"/>
    <w:rsid w:val="00912A60"/>
    <w:rsid w:val="00933B84"/>
    <w:rsid w:val="00933C0E"/>
    <w:rsid w:val="009506D1"/>
    <w:rsid w:val="00961855"/>
    <w:rsid w:val="009A477A"/>
    <w:rsid w:val="009A6DFE"/>
    <w:rsid w:val="009C634D"/>
    <w:rsid w:val="009E447E"/>
    <w:rsid w:val="00A07E09"/>
    <w:rsid w:val="00A617CA"/>
    <w:rsid w:val="00A76A36"/>
    <w:rsid w:val="00AC54E2"/>
    <w:rsid w:val="00AD29F2"/>
    <w:rsid w:val="00B10E41"/>
    <w:rsid w:val="00B23E45"/>
    <w:rsid w:val="00B42931"/>
    <w:rsid w:val="00B56AC4"/>
    <w:rsid w:val="00B623D4"/>
    <w:rsid w:val="00B77802"/>
    <w:rsid w:val="00BA3965"/>
    <w:rsid w:val="00BC6231"/>
    <w:rsid w:val="00BE52F6"/>
    <w:rsid w:val="00C03DA8"/>
    <w:rsid w:val="00C1056B"/>
    <w:rsid w:val="00C32337"/>
    <w:rsid w:val="00C518BF"/>
    <w:rsid w:val="00C5550F"/>
    <w:rsid w:val="00C741CE"/>
    <w:rsid w:val="00C748D9"/>
    <w:rsid w:val="00C80A5E"/>
    <w:rsid w:val="00CA046B"/>
    <w:rsid w:val="00CB65E8"/>
    <w:rsid w:val="00D05C93"/>
    <w:rsid w:val="00D41AF4"/>
    <w:rsid w:val="00D67406"/>
    <w:rsid w:val="00D962CB"/>
    <w:rsid w:val="00DB30B9"/>
    <w:rsid w:val="00DB61F6"/>
    <w:rsid w:val="00E078E1"/>
    <w:rsid w:val="00E11079"/>
    <w:rsid w:val="00E2351F"/>
    <w:rsid w:val="00E241DF"/>
    <w:rsid w:val="00EB394F"/>
    <w:rsid w:val="00EE0C61"/>
    <w:rsid w:val="00EF4A97"/>
    <w:rsid w:val="00F46321"/>
    <w:rsid w:val="00F730B9"/>
    <w:rsid w:val="00F7461C"/>
    <w:rsid w:val="00F85D33"/>
    <w:rsid w:val="00FC57E1"/>
    <w:rsid w:val="00FC6B6A"/>
    <w:rsid w:val="00FE5C1A"/>
    <w:rsid w:val="00FF67FD"/>
    <w:rsid w:val="654A0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5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85D33"/>
    <w:pPr>
      <w:keepNext/>
      <w:keepLines/>
      <w:spacing w:line="560" w:lineRule="exact"/>
      <w:ind w:firstLineChars="200" w:firstLine="880"/>
      <w:outlineLvl w:val="0"/>
    </w:pPr>
    <w:rPr>
      <w:rFonts w:eastAsia="黑体"/>
      <w:kern w:val="44"/>
      <w:sz w:val="32"/>
    </w:rPr>
  </w:style>
  <w:style w:type="paragraph" w:styleId="2">
    <w:name w:val="heading 2"/>
    <w:basedOn w:val="a"/>
    <w:next w:val="a"/>
    <w:link w:val="2Char"/>
    <w:uiPriority w:val="9"/>
    <w:unhideWhenUsed/>
    <w:qFormat/>
    <w:rsid w:val="00F85D33"/>
    <w:pPr>
      <w:keepNext/>
      <w:keepLines/>
      <w:spacing w:line="560" w:lineRule="exact"/>
      <w:ind w:firstLineChars="200" w:firstLine="880"/>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85D33"/>
    <w:pPr>
      <w:jc w:val="center"/>
    </w:pPr>
    <w:rPr>
      <w:rFonts w:eastAsia="楷体_GB2312"/>
      <w:b/>
      <w:sz w:val="24"/>
    </w:rPr>
  </w:style>
  <w:style w:type="paragraph" w:styleId="a4">
    <w:name w:val="Balloon Text"/>
    <w:basedOn w:val="a"/>
    <w:link w:val="Char0"/>
    <w:uiPriority w:val="99"/>
    <w:semiHidden/>
    <w:unhideWhenUsed/>
    <w:rsid w:val="00F85D33"/>
    <w:rPr>
      <w:sz w:val="18"/>
      <w:szCs w:val="18"/>
    </w:rPr>
  </w:style>
  <w:style w:type="paragraph" w:styleId="a5">
    <w:name w:val="footer"/>
    <w:basedOn w:val="a"/>
    <w:link w:val="Char1"/>
    <w:uiPriority w:val="99"/>
    <w:unhideWhenUsed/>
    <w:rsid w:val="00F85D3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F85D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semiHidden/>
    <w:unhideWhenUsed/>
    <w:qFormat/>
    <w:rsid w:val="00F85D33"/>
    <w:pPr>
      <w:snapToGrid w:val="0"/>
      <w:jc w:val="left"/>
    </w:pPr>
    <w:rPr>
      <w:sz w:val="18"/>
    </w:rPr>
  </w:style>
  <w:style w:type="table" w:styleId="a8">
    <w:name w:val="Table Grid"/>
    <w:basedOn w:val="a1"/>
    <w:uiPriority w:val="59"/>
    <w:qFormat/>
    <w:rsid w:val="00F85D3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F85D33"/>
    <w:rPr>
      <w:b/>
      <w:bCs/>
    </w:rPr>
  </w:style>
  <w:style w:type="character" w:styleId="aa">
    <w:name w:val="footnote reference"/>
    <w:basedOn w:val="a0"/>
    <w:uiPriority w:val="99"/>
    <w:semiHidden/>
    <w:unhideWhenUsed/>
    <w:qFormat/>
    <w:rsid w:val="00F85D33"/>
    <w:rPr>
      <w:vertAlign w:val="superscript"/>
    </w:rPr>
  </w:style>
  <w:style w:type="character" w:customStyle="1" w:styleId="Char2">
    <w:name w:val="页眉 Char"/>
    <w:basedOn w:val="a0"/>
    <w:link w:val="a6"/>
    <w:uiPriority w:val="99"/>
    <w:rsid w:val="00F85D33"/>
    <w:rPr>
      <w:sz w:val="18"/>
      <w:szCs w:val="18"/>
    </w:rPr>
  </w:style>
  <w:style w:type="character" w:customStyle="1" w:styleId="Char1">
    <w:name w:val="页脚 Char"/>
    <w:basedOn w:val="a0"/>
    <w:link w:val="a5"/>
    <w:uiPriority w:val="99"/>
    <w:rsid w:val="00F85D33"/>
    <w:rPr>
      <w:sz w:val="18"/>
      <w:szCs w:val="18"/>
    </w:rPr>
  </w:style>
  <w:style w:type="character" w:customStyle="1" w:styleId="Char3">
    <w:name w:val="脚注文本 Char"/>
    <w:basedOn w:val="a0"/>
    <w:link w:val="a7"/>
    <w:uiPriority w:val="99"/>
    <w:semiHidden/>
    <w:qFormat/>
    <w:rsid w:val="00F85D33"/>
    <w:rPr>
      <w:rFonts w:ascii="Times New Roman" w:eastAsia="宋体" w:hAnsi="Times New Roman" w:cs="Times New Roman"/>
      <w:sz w:val="18"/>
      <w:szCs w:val="24"/>
    </w:rPr>
  </w:style>
  <w:style w:type="paragraph" w:customStyle="1" w:styleId="ab">
    <w:name w:val="表格内容"/>
    <w:link w:val="ac"/>
    <w:qFormat/>
    <w:locked/>
    <w:rsid w:val="00F85D33"/>
    <w:pPr>
      <w:widowControl w:val="0"/>
      <w:spacing w:beforeLines="50" w:afterLines="50"/>
      <w:jc w:val="center"/>
    </w:pPr>
    <w:rPr>
      <w:rFonts w:ascii="黑体" w:eastAsia="黑体" w:hAnsi="黑体" w:cs="Times New Roman"/>
      <w:bCs/>
      <w:kern w:val="2"/>
      <w:sz w:val="24"/>
      <w:szCs w:val="21"/>
    </w:rPr>
  </w:style>
  <w:style w:type="character" w:customStyle="1" w:styleId="1Char">
    <w:name w:val="标题 1 Char"/>
    <w:basedOn w:val="a0"/>
    <w:link w:val="1"/>
    <w:autoRedefine/>
    <w:uiPriority w:val="9"/>
    <w:rsid w:val="00F85D33"/>
    <w:rPr>
      <w:rFonts w:ascii="Times New Roman" w:eastAsia="黑体" w:hAnsi="Times New Roman" w:cs="Times New Roman"/>
      <w:kern w:val="44"/>
      <w:sz w:val="32"/>
      <w:szCs w:val="24"/>
    </w:rPr>
  </w:style>
  <w:style w:type="character" w:customStyle="1" w:styleId="2Char">
    <w:name w:val="标题 2 Char"/>
    <w:basedOn w:val="a0"/>
    <w:link w:val="2"/>
    <w:uiPriority w:val="9"/>
    <w:rsid w:val="00F85D33"/>
    <w:rPr>
      <w:rFonts w:ascii="Arial" w:eastAsia="楷体_GB2312" w:hAnsi="Arial" w:cs="Times New Roman"/>
      <w:sz w:val="32"/>
      <w:szCs w:val="24"/>
    </w:rPr>
  </w:style>
  <w:style w:type="character" w:customStyle="1" w:styleId="ac">
    <w:name w:val="表格内容 字符"/>
    <w:basedOn w:val="a0"/>
    <w:link w:val="ab"/>
    <w:qFormat/>
    <w:rsid w:val="00F85D33"/>
    <w:rPr>
      <w:rFonts w:ascii="黑体" w:eastAsia="黑体" w:hAnsi="黑体" w:cs="Times New Roman"/>
      <w:bCs/>
      <w:sz w:val="24"/>
      <w:szCs w:val="21"/>
    </w:rPr>
  </w:style>
  <w:style w:type="character" w:customStyle="1" w:styleId="Char">
    <w:name w:val="批注文字 Char"/>
    <w:basedOn w:val="a0"/>
    <w:link w:val="a3"/>
    <w:uiPriority w:val="99"/>
    <w:semiHidden/>
    <w:rsid w:val="00F85D33"/>
    <w:rPr>
      <w:rFonts w:ascii="Times New Roman" w:eastAsia="楷体_GB2312" w:hAnsi="Times New Roman" w:cs="Times New Roman"/>
      <w:b/>
      <w:sz w:val="24"/>
      <w:szCs w:val="24"/>
    </w:rPr>
  </w:style>
  <w:style w:type="character" w:customStyle="1" w:styleId="Char0">
    <w:name w:val="批注框文本 Char"/>
    <w:basedOn w:val="a0"/>
    <w:link w:val="a4"/>
    <w:uiPriority w:val="99"/>
    <w:semiHidden/>
    <w:rsid w:val="00F85D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dc:creator>
  <cp:lastModifiedBy>dhb</cp:lastModifiedBy>
  <cp:revision>5</cp:revision>
  <cp:lastPrinted>2024-11-11T05:52:00Z</cp:lastPrinted>
  <dcterms:created xsi:type="dcterms:W3CDTF">2024-11-08T15:53:00Z</dcterms:created>
  <dcterms:modified xsi:type="dcterms:W3CDTF">2024-11-11T05:58:00Z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7667AB0771FE44C5B0A1DC1BDCB61F49_12</vt:lpwstr>
  </property>
</Properties>
</file>