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15D5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423628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val="0"/>
          <w:sz w:val="44"/>
          <w:szCs w:val="44"/>
        </w:rPr>
      </w:pPr>
      <w:bookmarkStart w:id="0" w:name="_GoBack"/>
      <w:r>
        <w:rPr>
          <w:rFonts w:hint="eastAsia" w:ascii="方正小标宋简体" w:hAnsi="方正小标宋简体" w:eastAsia="方正小标宋简体" w:cs="方正小标宋简体"/>
          <w:sz w:val="44"/>
          <w:szCs w:val="44"/>
        </w:rPr>
        <w:t>北京市科学技术委员会、</w:t>
      </w:r>
      <w:r>
        <w:rPr>
          <w:rFonts w:ascii="方正小标宋简体" w:hAnsi="方正小标宋简体" w:eastAsia="方正小标宋简体" w:cs="方正小标宋简体"/>
          <w:b w:val="0"/>
          <w:sz w:val="44"/>
          <w:szCs w:val="44"/>
        </w:rPr>
        <w:t>中关村科技园区</w:t>
      </w:r>
    </w:p>
    <w:p w14:paraId="234C568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val="0"/>
          <w:sz w:val="44"/>
          <w:szCs w:val="44"/>
          <w:shd w:val="clear" w:color="auto" w:fill="FFFFFF"/>
        </w:rPr>
      </w:pPr>
      <w:r>
        <w:rPr>
          <w:rFonts w:ascii="方正小标宋简体" w:hAnsi="方正小标宋简体" w:eastAsia="方正小标宋简体" w:cs="方正小标宋简体"/>
          <w:b w:val="0"/>
          <w:sz w:val="44"/>
          <w:szCs w:val="44"/>
        </w:rPr>
        <w:t>管理委员会</w:t>
      </w:r>
      <w:r>
        <w:rPr>
          <w:rFonts w:hint="eastAsia" w:ascii="方正小标宋简体" w:hAnsi="方正小标宋简体" w:eastAsia="方正小标宋简体" w:cs="方正小标宋简体"/>
          <w:b w:val="0"/>
          <w:sz w:val="44"/>
          <w:szCs w:val="44"/>
          <w:lang w:eastAsia="zh-CN"/>
        </w:rPr>
        <w:t>关于</w:t>
      </w:r>
      <w:r>
        <w:rPr>
          <w:rFonts w:ascii="方正小标宋简体" w:hAnsi="方正小标宋简体" w:eastAsia="方正小标宋简体" w:cs="方正小标宋简体"/>
          <w:b w:val="0"/>
          <w:sz w:val="44"/>
          <w:szCs w:val="44"/>
          <w:shd w:val="clear" w:color="auto" w:fill="FFFFFF"/>
        </w:rPr>
        <w:t>废止和修改部分</w:t>
      </w:r>
    </w:p>
    <w:p w14:paraId="65061FA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b w:val="0"/>
          <w:sz w:val="44"/>
          <w:szCs w:val="44"/>
          <w:shd w:val="clear" w:color="auto" w:fill="FFFFFF"/>
        </w:rPr>
        <w:t>行政规范性文件</w:t>
      </w:r>
      <w:r>
        <w:rPr>
          <w:rFonts w:hint="eastAsia" w:ascii="方正小标宋简体" w:hAnsi="方正小标宋简体" w:eastAsia="方正小标宋简体" w:cs="方正小标宋简体"/>
          <w:b w:val="0"/>
          <w:sz w:val="44"/>
          <w:szCs w:val="44"/>
          <w:shd w:val="clear" w:color="auto" w:fill="FFFFFF"/>
          <w:lang w:eastAsia="zh-CN"/>
        </w:rPr>
        <w:t>目录</w:t>
      </w:r>
    </w:p>
    <w:bookmarkEnd w:id="0"/>
    <w:p w14:paraId="25ED086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auto"/>
          <w:spacing w:val="15"/>
          <w:kern w:val="2"/>
          <w:sz w:val="32"/>
          <w:szCs w:val="32"/>
          <w:shd w:val="clear" w:color="auto" w:fill="FFFFFF"/>
          <w:lang w:val="en-US" w:eastAsia="zh-CN" w:bidi="ar-SA"/>
        </w:rPr>
      </w:pPr>
      <w:r>
        <w:rPr>
          <w:rFonts w:hint="eastAsia" w:ascii="楷体_GB2312" w:hAnsi="楷体_GB2312" w:eastAsia="楷体_GB2312" w:cs="楷体_GB2312"/>
          <w:color w:val="000000"/>
          <w:kern w:val="0"/>
          <w:sz w:val="36"/>
          <w:szCs w:val="36"/>
          <w:lang w:eastAsia="zh-CN"/>
        </w:rPr>
        <w:t>（征求意见稿）</w:t>
      </w:r>
    </w:p>
    <w:p w14:paraId="591D801E">
      <w:pPr>
        <w:pStyle w:val="5"/>
        <w:keepNext w:val="0"/>
        <w:keepLines w:val="0"/>
        <w:pageBreakBefore w:val="0"/>
        <w:widowControl w:val="0"/>
        <w:kinsoku/>
        <w:wordWrap/>
        <w:overflowPunct/>
        <w:topLinePunct w:val="0"/>
        <w:autoSpaceDE/>
        <w:autoSpaceDN/>
        <w:bidi w:val="0"/>
        <w:adjustRightInd/>
        <w:snapToGrid/>
        <w:spacing w:after="0" w:line="560" w:lineRule="exact"/>
        <w:ind w:firstLine="700" w:firstLineChars="200"/>
        <w:textAlignment w:val="auto"/>
        <w:rPr>
          <w:rFonts w:hint="eastAsia" w:ascii="黑体" w:hAnsi="黑体" w:eastAsia="黑体" w:cs="黑体"/>
          <w:color w:val="auto"/>
          <w:spacing w:val="15"/>
          <w:kern w:val="2"/>
          <w:sz w:val="32"/>
          <w:szCs w:val="32"/>
          <w:shd w:val="clear" w:color="auto" w:fill="FFFFFF"/>
          <w:lang w:val="en-US" w:eastAsia="zh-CN" w:bidi="ar-SA"/>
        </w:rPr>
      </w:pPr>
      <w:r>
        <w:rPr>
          <w:rFonts w:hint="eastAsia" w:ascii="黑体" w:hAnsi="黑体" w:eastAsia="黑体" w:cs="黑体"/>
          <w:color w:val="auto"/>
          <w:spacing w:val="15"/>
          <w:kern w:val="2"/>
          <w:sz w:val="32"/>
          <w:szCs w:val="32"/>
          <w:shd w:val="clear" w:color="auto" w:fill="FFFFFF"/>
          <w:lang w:val="en-US" w:eastAsia="zh-CN" w:bidi="ar-SA"/>
        </w:rPr>
        <w:t>一、废止行政规范性文件（26件）</w:t>
      </w:r>
    </w:p>
    <w:p w14:paraId="72A8B8D5">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auto"/>
          <w:spacing w:val="15"/>
          <w:kern w:val="2"/>
          <w:sz w:val="32"/>
          <w:szCs w:val="32"/>
          <w:shd w:val="clear" w:color="auto" w:fill="FFFFFF"/>
          <w:lang w:val="en-US" w:eastAsia="zh-CN" w:bidi="ar-SA"/>
        </w:rPr>
      </w:pPr>
      <w:r>
        <w:rPr>
          <w:rFonts w:hint="eastAsia" w:ascii="仿宋_GB2312" w:hAnsi="仿宋_GB2312" w:eastAsia="仿宋_GB2312" w:cs="仿宋_GB2312"/>
          <w:color w:val="auto"/>
          <w:spacing w:val="15"/>
          <w:kern w:val="2"/>
          <w:sz w:val="32"/>
          <w:szCs w:val="32"/>
          <w:shd w:val="clear" w:color="auto" w:fill="FFFFFF"/>
          <w:lang w:val="en-US" w:eastAsia="zh-CN" w:bidi="ar-SA"/>
        </w:rPr>
        <w:t>北京市科学技术委员会、北京市发展和改革委员会、北京市财政局、北京市教育委员会关于印发《北京市鼓励企业与高校、科研院所进行产学研合作的若干意见》的通知（京科高发〔2007〕138号）</w:t>
      </w:r>
    </w:p>
    <w:p w14:paraId="46908591">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rPr>
        <w:t>北京市科学技术委员会、北京市财政局、北京市国家税务局、北京市地方税务局关于转发科技部、财政部、国家税务总局《关于印发高新技术企业认定管理办法的通知》和《</w:t>
      </w:r>
      <w:r>
        <w:rPr>
          <w:rFonts w:hint="eastAsia" w:ascii="仿宋_GB2312" w:hAnsi="仿宋_GB2312" w:eastAsia="仿宋_GB2312" w:cs="仿宋_GB2312"/>
          <w:color w:val="000000"/>
        </w:rPr>
        <w:t>关于印发〈高新技术企业认定管理工作指引〉的通知》并印发《北京市高新技术企业认定管理工作实施方案》的通知（京科高发〔2008〕434号）</w:t>
      </w:r>
    </w:p>
    <w:p w14:paraId="252D2731">
      <w:pPr>
        <w:pStyle w:val="10"/>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关于印发《北京市关于进一步加强科技孵化体系建设的若干意见》的通知（</w:t>
      </w:r>
      <w:r>
        <w:rPr>
          <w:rFonts w:hint="eastAsia" w:ascii="仿宋_GB2312" w:hAnsi="仿宋_GB2312" w:eastAsia="仿宋_GB2312" w:cs="仿宋_GB2312"/>
          <w:color w:val="000000"/>
          <w:sz w:val="32"/>
          <w:szCs w:val="32"/>
        </w:rPr>
        <w:t>京科发〔2010〕721号）</w:t>
      </w:r>
    </w:p>
    <w:p w14:paraId="037FDA80">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rPr>
        <w:t>关于印发《关于进一步促进首都科技企业孵化体系建设的意见》的通知（</w:t>
      </w:r>
      <w:r>
        <w:rPr>
          <w:rFonts w:hint="eastAsia" w:ascii="仿宋_GB2312" w:hAnsi="仿宋_GB2312" w:eastAsia="仿宋_GB2312" w:cs="仿宋_GB2312"/>
          <w:color w:val="000000"/>
        </w:rPr>
        <w:t>京科发〔2013〕234号）</w:t>
      </w:r>
    </w:p>
    <w:p w14:paraId="553D94CD">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rPr>
      </w:pPr>
      <w:r>
        <w:rPr>
          <w:rFonts w:hint="eastAsia" w:ascii="仿宋_GB2312" w:hAnsi="仿宋_GB2312" w:eastAsia="仿宋_GB2312" w:cs="仿宋_GB2312"/>
        </w:rPr>
        <w:t>中关村科技园区管理委员会、北京市质量技术监督局关于印发中关村国家自主创新示范区标准化试点示范单位培育工作方案（2015年—2017年）的通知（中科园发〔2015〕64号）</w:t>
      </w:r>
    </w:p>
    <w:p w14:paraId="3D3497FF">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rPr>
        <w:t>关于印发《中关村国家自主创新示范区标准化试点示范单位动态调整办法》的通知（</w:t>
      </w:r>
      <w:r>
        <w:rPr>
          <w:rFonts w:hint="eastAsia" w:ascii="仿宋_GB2312" w:hAnsi="仿宋_GB2312" w:eastAsia="仿宋_GB2312" w:cs="仿宋_GB2312"/>
          <w:color w:val="000000"/>
        </w:rPr>
        <w:t>中科园发〔2018〕22号）</w:t>
      </w:r>
    </w:p>
    <w:p w14:paraId="79ED914B">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关于印发《中关村国家自主创新示范区关于支持颠覆性技术创新的指导意见》的通知（中科园发〔2018〕45号）</w:t>
      </w:r>
    </w:p>
    <w:p w14:paraId="56F060A9">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关于印发《中关村创业孵化机构分类评价办法（试行）》的通知（中科园发〔2019〕18号）</w:t>
      </w:r>
    </w:p>
    <w:p w14:paraId="6BA9C257">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rPr>
        <w:t>中关村科技园区管理委员会、北京市知识产权局关于印发《中关村国家自主创新示范区知识产权行动方案（2019-2021）》的通知（</w:t>
      </w:r>
      <w:r>
        <w:rPr>
          <w:rFonts w:hint="eastAsia" w:ascii="仿宋_GB2312" w:hAnsi="仿宋_GB2312" w:eastAsia="仿宋_GB2312" w:cs="仿宋_GB2312"/>
          <w:color w:val="000000"/>
        </w:rPr>
        <w:t>中科园发〔2019〕26号）</w:t>
      </w:r>
    </w:p>
    <w:p w14:paraId="0A227761">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中关村科技园区管理委员会关于印发《中关村示范区国际标准化工作行动方案(2020—2022年)》的通知（中科园发〔2019〕93号）</w:t>
      </w:r>
    </w:p>
    <w:p w14:paraId="2E400F48">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关于印发《关于中关村国家自主创新示范区人才公共租赁住房建设的若干意见》的通知（中科园发〔2010〕50号）</w:t>
      </w:r>
    </w:p>
    <w:p w14:paraId="446B3591">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关于印发《中关村国家自主创新示范区人才公共租赁住房专项资金管理办法》的通知（中科园发〔201</w:t>
      </w:r>
      <w:r>
        <w:rPr>
          <w:rFonts w:ascii="仿宋_GB2312" w:hAnsi="仿宋_GB2312" w:eastAsia="仿宋_GB2312" w:cs="仿宋_GB2312"/>
          <w:color w:val="000000"/>
        </w:rPr>
        <w:t>2</w:t>
      </w:r>
      <w:r>
        <w:rPr>
          <w:rFonts w:hint="eastAsia" w:ascii="仿宋_GB2312" w:hAnsi="仿宋_GB2312" w:eastAsia="仿宋_GB2312" w:cs="仿宋_GB2312"/>
          <w:color w:val="000000"/>
        </w:rPr>
        <w:t>〕</w:t>
      </w:r>
      <w:r>
        <w:rPr>
          <w:rFonts w:ascii="仿宋_GB2312" w:hAnsi="仿宋_GB2312" w:eastAsia="仿宋_GB2312" w:cs="仿宋_GB2312"/>
          <w:color w:val="000000"/>
        </w:rPr>
        <w:t>35</w:t>
      </w:r>
      <w:r>
        <w:rPr>
          <w:rFonts w:hint="eastAsia" w:ascii="仿宋_GB2312" w:hAnsi="仿宋_GB2312" w:eastAsia="仿宋_GB2312" w:cs="仿宋_GB2312"/>
          <w:color w:val="000000"/>
        </w:rPr>
        <w:t>号）</w:t>
      </w:r>
    </w:p>
    <w:p w14:paraId="62E7E26F">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关于印发《中关村国家自主创新示范区高精尖产业协同创新平台建设管理办法（试行）》的通知（中科园发〔2019〕42号）</w:t>
      </w:r>
    </w:p>
    <w:p w14:paraId="3A5766D4">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rPr>
        <w:t>中关村科技园区管理委员会、丰台区人民政府</w:t>
      </w:r>
      <w:r>
        <w:rPr>
          <w:rFonts w:hint="eastAsia" w:ascii="仿宋_GB2312" w:hAnsi="仿宋_GB2312" w:eastAsia="仿宋_GB2312" w:cs="仿宋_GB2312"/>
          <w:color w:val="000000"/>
        </w:rPr>
        <w:t>关于印发《中关村丰台园轨道交通产业创新发展行动计划（2020-2022年）》的通知（中科园发〔2020〕23号）</w:t>
      </w:r>
    </w:p>
    <w:p w14:paraId="0595E9FB">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关于印发《中关村国家自主创新示范区关于推进特色产业园建设 提升分园产业服务能力的指导意见》的通知（中科园发〔2020〕26号）</w:t>
      </w:r>
    </w:p>
    <w:p w14:paraId="369175C6">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关于印发《国家科技重大专项地方配套管理办法》的通知（京科发〔2010〕272号）</w:t>
      </w:r>
    </w:p>
    <w:p w14:paraId="1B34B66A">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北京市科学技术委员会关于印发《北京市重大科技成果转化和产业项目资金股权投资支持项目的操作要点和基本流程（试行）》的通知（京科发〔2011〕222号）</w:t>
      </w:r>
    </w:p>
    <w:p w14:paraId="018B51D2">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北京市科学技术委员会关于印发《北京市科技专项管理办法》的通知（京科发〔2011〕464号）</w:t>
      </w:r>
    </w:p>
    <w:p w14:paraId="07DE24A2">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关于印发《关于促进产业技术创新战略联盟加快发展的意见》的通知（京科发〔2011〕303号）</w:t>
      </w:r>
    </w:p>
    <w:p w14:paraId="7B0A516B">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北京市科学技术委员会关于印发《北京市战略性新兴产业科技成果转化基地认定管理办法》的通知（京科发〔2012〕381号）</w:t>
      </w:r>
    </w:p>
    <w:p w14:paraId="6DB0636F">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北京市科学技术委员会 中关村科技园区管理委员会 北京市财政局《关于在北京市自然科学基金项目中试点项目经费使用“包干制”》的通知（京科发〔2021〕76号）</w:t>
      </w:r>
    </w:p>
    <w:p w14:paraId="3E87F699">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rPr>
        <w:t>北京市科学技术委员会、</w:t>
      </w:r>
      <w:r>
        <w:rPr>
          <w:rFonts w:hint="eastAsia" w:ascii="仿宋_GB2312" w:hAnsi="仿宋_GB2312" w:eastAsia="仿宋_GB2312" w:cs="仿宋_GB2312"/>
          <w:snapToGrid w:val="0"/>
          <w:kern w:val="0"/>
        </w:rPr>
        <w:t>中关村科技园区管理委员会关于印发《关于建立实施中关村知识产权质押融资成本分担和风险补偿机制的若干措施》的通知（</w:t>
      </w:r>
      <w:r>
        <w:rPr>
          <w:rFonts w:hint="eastAsia" w:ascii="仿宋_GB2312" w:hAnsi="仿宋_GB2312" w:eastAsia="仿宋_GB2312" w:cs="仿宋_GB2312"/>
          <w:snapToGrid w:val="0"/>
          <w:color w:val="000000"/>
          <w:kern w:val="0"/>
        </w:rPr>
        <w:t>中科园发〔2021〕3号）</w:t>
      </w:r>
    </w:p>
    <w:p w14:paraId="72BFCEA1">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ascii="仿宋_GB2312" w:hAnsi="仿宋_GB2312" w:eastAsia="仿宋_GB2312" w:cs="仿宋_GB2312"/>
          <w:shd w:val="clear" w:color="050000" w:fill="auto"/>
        </w:rPr>
        <w:t>《</w:t>
      </w:r>
      <w:r>
        <w:rPr>
          <w:rFonts w:hint="eastAsia" w:ascii="仿宋_GB2312" w:hAnsi="仿宋_GB2312" w:eastAsia="仿宋_GB2312" w:cs="仿宋_GB2312"/>
          <w:shd w:val="clear" w:color="050000" w:fill="auto"/>
        </w:rPr>
        <w:t>关于</w:t>
      </w:r>
      <w:r>
        <w:rPr>
          <w:rFonts w:ascii="仿宋_GB2312" w:hAnsi="仿宋_GB2312" w:eastAsia="仿宋_GB2312" w:cs="仿宋_GB2312"/>
          <w:shd w:val="clear" w:color="050000" w:fill="auto"/>
        </w:rPr>
        <w:t>建设国家现代农业科技城开展科技支撑与成果惠民工程的意见》</w:t>
      </w:r>
      <w:r>
        <w:rPr>
          <w:rFonts w:hint="eastAsia" w:ascii="仿宋_GB2312" w:hAnsi="仿宋_GB2312" w:eastAsia="仿宋_GB2312" w:cs="仿宋_GB2312"/>
          <w:shd w:val="clear" w:color="050000" w:fill="auto"/>
        </w:rPr>
        <w:t>（</w:t>
      </w:r>
      <w:r>
        <w:rPr>
          <w:rFonts w:ascii="仿宋_GB2312" w:hAnsi="仿宋_GB2312" w:eastAsia="仿宋_GB2312" w:cs="仿宋_GB2312"/>
          <w:shd w:val="clear" w:color="050000" w:fill="auto"/>
        </w:rPr>
        <w:t>京科发〔2011〕265号</w:t>
      </w:r>
      <w:r>
        <w:rPr>
          <w:rFonts w:hint="eastAsia" w:ascii="仿宋_GB2312" w:hAnsi="仿宋_GB2312" w:eastAsia="仿宋_GB2312" w:cs="仿宋_GB2312"/>
          <w:shd w:val="clear" w:color="050000" w:fill="auto"/>
        </w:rPr>
        <w:t>）</w:t>
      </w:r>
    </w:p>
    <w:p w14:paraId="39482869">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shd w:val="clear" w:color="050000" w:fill="auto"/>
        </w:rPr>
        <w:t>北京市科学技术委员会关</w:t>
      </w:r>
      <w:r>
        <w:rPr>
          <w:rFonts w:ascii="仿宋_GB2312" w:hAnsi="仿宋_GB2312" w:eastAsia="仿宋_GB2312" w:cs="仿宋_GB2312"/>
          <w:shd w:val="clear" w:color="050000" w:fill="auto"/>
        </w:rPr>
        <w:t>于印发《北京市科学技术委员会关于促进可持续发展实验区发展建设的意见》的通知</w:t>
      </w:r>
      <w:r>
        <w:rPr>
          <w:rFonts w:hint="eastAsia" w:ascii="仿宋_GB2312" w:hAnsi="仿宋_GB2312" w:eastAsia="仿宋_GB2312" w:cs="仿宋_GB2312"/>
          <w:shd w:val="clear" w:color="050000" w:fill="auto"/>
        </w:rPr>
        <w:t>（</w:t>
      </w:r>
      <w:r>
        <w:rPr>
          <w:rFonts w:ascii="仿宋_GB2312" w:hAnsi="仿宋_GB2312" w:eastAsia="仿宋_GB2312" w:cs="仿宋_GB2312"/>
          <w:shd w:val="clear" w:color="050000" w:fill="auto"/>
        </w:rPr>
        <w:t>京科发〔2011〕706号</w:t>
      </w:r>
      <w:r>
        <w:rPr>
          <w:rFonts w:hint="eastAsia" w:ascii="仿宋_GB2312" w:hAnsi="仿宋_GB2312" w:eastAsia="仿宋_GB2312" w:cs="仿宋_GB2312"/>
          <w:shd w:val="clear" w:color="050000" w:fill="auto"/>
        </w:rPr>
        <w:t>）</w:t>
      </w:r>
    </w:p>
    <w:p w14:paraId="36C181FB">
      <w:pPr>
        <w:pStyle w:val="14"/>
        <w:keepNext w:val="0"/>
        <w:keepLines w:val="0"/>
        <w:pageBreakBefore w:val="0"/>
        <w:numPr>
          <w:ilvl w:val="0"/>
          <w:numId w:val="1"/>
        </w:numPr>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color w:val="000000"/>
        </w:rPr>
      </w:pPr>
      <w:r>
        <w:rPr>
          <w:rFonts w:hint="eastAsia" w:ascii="仿宋_GB2312" w:hAnsi="仿宋_GB2312" w:eastAsia="仿宋_GB2312" w:cs="仿宋_GB2312"/>
          <w:shd w:val="clear" w:color="050000" w:fill="auto"/>
        </w:rPr>
        <w:t>北京市科学技术委员会</w:t>
      </w:r>
      <w:r>
        <w:rPr>
          <w:rFonts w:ascii="仿宋_GB2312" w:hAnsi="仿宋_GB2312" w:eastAsia="仿宋_GB2312" w:cs="仿宋_GB2312"/>
          <w:shd w:val="clear" w:color="050000" w:fill="auto"/>
        </w:rPr>
        <w:t>关于印发《北京市可持续发展实验区管理办法》的通知</w:t>
      </w:r>
      <w:r>
        <w:rPr>
          <w:rFonts w:hint="eastAsia" w:ascii="仿宋_GB2312" w:hAnsi="仿宋_GB2312" w:eastAsia="仿宋_GB2312" w:cs="仿宋_GB2312"/>
          <w:shd w:val="clear" w:color="050000" w:fill="auto"/>
        </w:rPr>
        <w:t>（</w:t>
      </w:r>
      <w:r>
        <w:rPr>
          <w:rFonts w:ascii="仿宋_GB2312" w:hAnsi="仿宋_GB2312" w:eastAsia="仿宋_GB2312" w:cs="仿宋_GB2312"/>
          <w:shd w:val="clear" w:color="050000" w:fill="auto"/>
        </w:rPr>
        <w:t>京科发〔2011〕713号</w:t>
      </w:r>
      <w:r>
        <w:rPr>
          <w:rFonts w:hint="eastAsia" w:ascii="仿宋_GB2312" w:hAnsi="仿宋_GB2312" w:eastAsia="仿宋_GB2312" w:cs="仿宋_GB2312"/>
          <w:shd w:val="clear" w:color="050000" w:fill="auto"/>
        </w:rPr>
        <w:t>）</w:t>
      </w:r>
    </w:p>
    <w:p w14:paraId="159DD8E4">
      <w:pPr>
        <w:pStyle w:val="14"/>
        <w:keepNext w:val="0"/>
        <w:keepLines w:val="0"/>
        <w:pageBreakBefore w:val="0"/>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highlight w:val="yellow"/>
        </w:rPr>
      </w:pPr>
      <w:r>
        <w:rPr>
          <w:rFonts w:hint="eastAsia" w:ascii="仿宋_GB2312" w:hAnsi="仿宋_GB2312" w:eastAsia="仿宋_GB2312" w:cs="仿宋_GB2312"/>
          <w:shd w:val="clear" w:color="050000" w:fill="auto"/>
        </w:rPr>
        <w:t>26、北京市科学技术委员会 北京市农业农村局 北京市园林绿化局 北京市水务局关于印发《强化创新驱动科技支撑北京乡村振兴行动方案（2018-2020年）》的通知（</w:t>
      </w:r>
      <w:r>
        <w:rPr>
          <w:rFonts w:ascii="仿宋_GB2312" w:hAnsi="仿宋_GB2312" w:eastAsia="仿宋_GB2312" w:cs="仿宋_GB2312"/>
          <w:shd w:val="clear" w:color="050000" w:fill="auto"/>
        </w:rPr>
        <w:t>京科发〔201</w:t>
      </w:r>
      <w:r>
        <w:rPr>
          <w:rFonts w:hint="eastAsia" w:ascii="仿宋_GB2312" w:hAnsi="仿宋_GB2312" w:eastAsia="仿宋_GB2312" w:cs="仿宋_GB2312"/>
          <w:shd w:val="clear" w:color="050000" w:fill="auto"/>
        </w:rPr>
        <w:t>9</w:t>
      </w:r>
      <w:r>
        <w:rPr>
          <w:rFonts w:ascii="仿宋_GB2312" w:hAnsi="仿宋_GB2312" w:eastAsia="仿宋_GB2312" w:cs="仿宋_GB2312"/>
          <w:shd w:val="clear" w:color="050000" w:fill="auto"/>
        </w:rPr>
        <w:t>〕</w:t>
      </w:r>
      <w:r>
        <w:rPr>
          <w:rFonts w:hint="eastAsia" w:ascii="仿宋_GB2312" w:hAnsi="仿宋_GB2312" w:eastAsia="仿宋_GB2312" w:cs="仿宋_GB2312"/>
          <w:shd w:val="clear" w:color="050000" w:fill="auto"/>
        </w:rPr>
        <w:t>2</w:t>
      </w:r>
      <w:r>
        <w:rPr>
          <w:rFonts w:ascii="仿宋_GB2312" w:hAnsi="仿宋_GB2312" w:eastAsia="仿宋_GB2312" w:cs="仿宋_GB2312"/>
          <w:shd w:val="clear" w:color="050000" w:fill="auto"/>
        </w:rPr>
        <w:t>号</w:t>
      </w:r>
      <w:r>
        <w:rPr>
          <w:rFonts w:hint="eastAsia" w:ascii="仿宋_GB2312" w:hAnsi="仿宋_GB2312" w:eastAsia="仿宋_GB2312" w:cs="仿宋_GB2312"/>
          <w:shd w:val="clear" w:color="050000" w:fill="auto"/>
        </w:rPr>
        <w:t>）</w:t>
      </w:r>
    </w:p>
    <w:p w14:paraId="0E4957FF">
      <w:pPr>
        <w:pStyle w:val="14"/>
        <w:keepNext w:val="0"/>
        <w:keepLines w:val="0"/>
        <w:pageBreakBefore w:val="0"/>
        <w:kinsoku/>
        <w:wordWrap/>
        <w:overflowPunct/>
        <w:topLinePunct w:val="0"/>
        <w:autoSpaceDE/>
        <w:autoSpaceDN/>
        <w:bidi w:val="0"/>
        <w:adjustRightInd/>
        <w:snapToGrid/>
        <w:spacing w:line="560" w:lineRule="exact"/>
        <w:ind w:left="700" w:firstLine="0" w:firstLineChars="0"/>
        <w:textAlignment w:val="auto"/>
        <w:rPr>
          <w:rFonts w:hint="eastAsia" w:ascii="黑体" w:hAnsi="黑体" w:eastAsia="黑体" w:cs="黑体"/>
          <w:b w:val="0"/>
          <w:bCs w:val="0"/>
          <w:color w:val="000000"/>
        </w:rPr>
      </w:pPr>
      <w:r>
        <w:rPr>
          <w:rFonts w:hint="eastAsia" w:ascii="黑体" w:hAnsi="黑体" w:eastAsia="黑体" w:cs="黑体"/>
          <w:b w:val="0"/>
          <w:bCs w:val="0"/>
          <w:shd w:val="clear" w:color="050000" w:fill="auto"/>
          <w:lang w:eastAsia="zh-CN"/>
        </w:rPr>
        <w:t>二、</w:t>
      </w:r>
      <w:r>
        <w:rPr>
          <w:rFonts w:hint="eastAsia" w:ascii="黑体" w:hAnsi="黑体" w:eastAsia="黑体" w:cs="黑体"/>
          <w:b w:val="0"/>
          <w:bCs w:val="0"/>
          <w:shd w:val="clear" w:color="050000" w:fill="auto"/>
        </w:rPr>
        <w:t>修改</w:t>
      </w:r>
      <w:r>
        <w:rPr>
          <w:rFonts w:hint="eastAsia" w:ascii="黑体" w:hAnsi="黑体" w:eastAsia="黑体" w:cs="黑体"/>
          <w:b w:val="0"/>
          <w:bCs w:val="0"/>
          <w:shd w:val="clear" w:color="050000" w:fill="auto"/>
          <w:lang w:eastAsia="zh-CN"/>
        </w:rPr>
        <w:t>行政规范性文件（</w:t>
      </w:r>
      <w:r>
        <w:rPr>
          <w:rFonts w:hint="eastAsia" w:ascii="黑体" w:hAnsi="黑体" w:eastAsia="黑体" w:cs="黑体"/>
          <w:b w:val="0"/>
          <w:bCs w:val="0"/>
          <w:shd w:val="clear" w:color="050000" w:fill="auto"/>
        </w:rPr>
        <w:t>1件</w:t>
      </w:r>
      <w:r>
        <w:rPr>
          <w:rFonts w:hint="eastAsia" w:ascii="黑体" w:hAnsi="黑体" w:eastAsia="黑体" w:cs="黑体"/>
          <w:b w:val="0"/>
          <w:bCs w:val="0"/>
          <w:shd w:val="clear" w:color="050000" w:fill="auto"/>
          <w:lang w:eastAsia="zh-CN"/>
        </w:rPr>
        <w:t>）</w:t>
      </w:r>
    </w:p>
    <w:p w14:paraId="491B1AD7">
      <w:pPr>
        <w:pStyle w:val="14"/>
        <w:keepNext w:val="0"/>
        <w:keepLines w:val="0"/>
        <w:pageBreakBefore w:val="0"/>
        <w:kinsoku/>
        <w:wordWrap/>
        <w:overflowPunct/>
        <w:topLinePunct w:val="0"/>
        <w:autoSpaceDE/>
        <w:autoSpaceDN/>
        <w:bidi w:val="0"/>
        <w:adjustRightInd/>
        <w:snapToGrid/>
        <w:spacing w:line="560" w:lineRule="exact"/>
        <w:ind w:firstLine="700"/>
        <w:textAlignment w:val="auto"/>
        <w:rPr>
          <w:rFonts w:ascii="仿宋_GB2312" w:hAnsi="仿宋_GB2312" w:eastAsia="仿宋_GB2312" w:cs="仿宋_GB2312"/>
        </w:rPr>
      </w:pPr>
      <w:r>
        <w:rPr>
          <w:rFonts w:hint="eastAsia" w:ascii="仿宋_GB2312" w:hAnsi="Calibri" w:eastAsia="仿宋_GB2312" w:cs="Times New Roman"/>
        </w:rPr>
        <w:t>1、</w:t>
      </w:r>
      <w:r>
        <w:rPr>
          <w:rFonts w:hint="eastAsia" w:ascii="仿宋_GB2312" w:hAnsi="仿宋_GB2312" w:eastAsia="仿宋_GB2312" w:cs="仿宋_GB2312"/>
          <w:shd w:val="clear" w:color="050000" w:fill="auto"/>
        </w:rPr>
        <w:t>北京市科学技术委员会关于印发《北京市工程技术研究中心认定与管理暂行办法》的通知（京科发〔2010〕412号）</w:t>
      </w:r>
    </w:p>
    <w:p w14:paraId="374A2A76">
      <w:pPr>
        <w:pStyle w:val="14"/>
        <w:keepNext w:val="0"/>
        <w:keepLines w:val="0"/>
        <w:pageBreakBefore w:val="0"/>
        <w:kinsoku/>
        <w:wordWrap/>
        <w:overflowPunct/>
        <w:topLinePunct w:val="0"/>
        <w:autoSpaceDE/>
        <w:autoSpaceDN/>
        <w:bidi w:val="0"/>
        <w:adjustRightInd/>
        <w:snapToGrid/>
        <w:spacing w:line="560" w:lineRule="exact"/>
        <w:ind w:firstLine="700"/>
        <w:textAlignment w:val="auto"/>
        <w:rPr>
          <w:rFonts w:ascii="仿宋_GB2312" w:eastAsia="仿宋_GB2312" w:cs="Times New Roman"/>
        </w:rPr>
      </w:pPr>
      <w:r>
        <w:rPr>
          <w:rFonts w:hint="eastAsia" w:ascii="仿宋_GB2312" w:eastAsia="仿宋_GB2312" w:cs="Times New Roman"/>
        </w:rPr>
        <w:t>将第七条“申请认定工程中心的依托单位应具备以下基本条件：行业龙头企业申请工程中心，或与科研院所和高校联合出资成立公司法人申请工程中心的，予以优先认定。”修改为：“鼓励科技领军企业申请工程中心，或与科研院所和高校联合出资的申请工程中心。”</w:t>
      </w:r>
    </w:p>
    <w:p w14:paraId="21067F8E"/>
    <w:p w14:paraId="544F5D3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简体" w:hAnsi="方正小标宋简体" w:eastAsia="方正小标宋简体" w:cs="方正小标宋简体"/>
          <w:sz w:val="44"/>
          <w:szCs w:val="44"/>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20B0604020202020204"/>
    <w:charset w:val="00"/>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53F2D"/>
    <w:multiLevelType w:val="singleLevel"/>
    <w:tmpl w:val="65E53F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D0255"/>
    <w:rsid w:val="1F99C6BA"/>
    <w:rsid w:val="2CEB0C38"/>
    <w:rsid w:val="2FF29683"/>
    <w:rsid w:val="31BEBF76"/>
    <w:rsid w:val="4749A728"/>
    <w:rsid w:val="69FD85CE"/>
    <w:rsid w:val="6EF84DD5"/>
    <w:rsid w:val="6FFE6B0D"/>
    <w:rsid w:val="72BB8094"/>
    <w:rsid w:val="79BB0CCD"/>
    <w:rsid w:val="7AF5FA75"/>
    <w:rsid w:val="7FBFE734"/>
    <w:rsid w:val="7FE7CB1C"/>
    <w:rsid w:val="AA6D0043"/>
    <w:rsid w:val="AAAFDDE1"/>
    <w:rsid w:val="ADDFA6D7"/>
    <w:rsid w:val="ED7F4D85"/>
    <w:rsid w:val="F0EF9E98"/>
    <w:rsid w:val="F56FA0A2"/>
    <w:rsid w:val="F9FB6FA8"/>
    <w:rsid w:val="FDD41A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5">
    <w:name w:val="Body Text"/>
    <w:basedOn w:val="1"/>
    <w:next w:val="1"/>
    <w:uiPriority w:val="0"/>
    <w:pPr>
      <w:spacing w:before="0" w:after="140" w:line="276" w:lineRule="auto"/>
    </w:pPr>
  </w:style>
  <w:style w:type="paragraph" w:styleId="6">
    <w:name w:val="caption"/>
    <w:basedOn w:val="1"/>
    <w:uiPriority w:val="0"/>
    <w:pPr>
      <w:widowControl w:val="0"/>
      <w:suppressLineNumbers/>
      <w:suppressAutoHyphens/>
      <w:spacing w:before="120" w:after="120"/>
    </w:pPr>
    <w:rPr>
      <w:i/>
      <w:iCs/>
      <w:sz w:val="24"/>
      <w:szCs w:val="24"/>
    </w:rPr>
  </w:style>
  <w:style w:type="paragraph" w:styleId="7">
    <w:name w:val="footer"/>
    <w:basedOn w:val="1"/>
    <w:qFormat/>
    <w:uiPriority w:val="0"/>
    <w:pPr>
      <w:tabs>
        <w:tab w:val="center" w:pos="4153"/>
        <w:tab w:val="right" w:pos="8306"/>
      </w:tabs>
      <w:snapToGrid w:val="0"/>
      <w:jc w:val="left"/>
    </w:pPr>
    <w:rPr>
      <w:sz w:val="18"/>
    </w:rPr>
  </w:style>
  <w:style w:type="character" w:styleId="8">
    <w:name w:val="Hyperlink"/>
    <w:basedOn w:val="3"/>
    <w:uiPriority w:val="0"/>
    <w:rPr>
      <w:color w:val="0000FF"/>
      <w:u w:val="single"/>
    </w:rPr>
  </w:style>
  <w:style w:type="paragraph" w:styleId="9">
    <w:name w:val="List"/>
    <w:basedOn w:val="5"/>
    <w:uiPriority w:val="0"/>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默认段落字体1"/>
    <w:uiPriority w:val="0"/>
  </w:style>
  <w:style w:type="paragraph" w:customStyle="1" w:styleId="12">
    <w:name w:val="Heading"/>
    <w:basedOn w:val="1"/>
    <w:next w:val="5"/>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paragraph" w:customStyle="1" w:styleId="14">
    <w:name w:val="政策通知"/>
    <w:basedOn w:val="1"/>
    <w:qFormat/>
    <w:uiPriority w:val="0"/>
    <w:pPr>
      <w:shd w:val="clear" w:color="auto" w:fill="FFFFFF"/>
      <w:suppressAutoHyphens/>
      <w:spacing w:line="560" w:lineRule="exact"/>
      <w:ind w:firstLine="880" w:firstLineChars="200"/>
    </w:pPr>
    <w:rPr>
      <w:rFonts w:ascii="楷体_GB2312" w:hAnsi="楷体_GB2312" w:eastAsia="楷体_GB2312" w:cs="方正仿宋_GB2312"/>
      <w:spacing w:val="15"/>
      <w:sz w:val="32"/>
      <w:szCs w:val="32"/>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5.33333333333333</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zhangqiang</dc:creator>
  <cp:lastModifiedBy>pro</cp:lastModifiedBy>
  <dcterms:modified xsi:type="dcterms:W3CDTF">2024-11-25T03:17:55Z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3F0319E10E9449808055CA0F4B95947E_13</vt:lpwstr>
  </property>
</Properties>
</file>