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4F1E4">
      <w:pPr>
        <w:rPr>
          <w:sz w:val="22"/>
          <w:szCs w:val="28"/>
        </w:rPr>
      </w:pPr>
    </w:p>
    <w:p w14:paraId="27B94142">
      <w:pPr>
        <w:pStyle w:val="11"/>
        <w:framePr w:wrap="around" w:vAnchor="margin" w:hAnchor="text" w:y="1"/>
        <w:rPr>
          <w:rFonts w:hAnsi="黑体"/>
        </w:rPr>
      </w:pPr>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fldChar w:fldCharType="separate"/>
      </w:r>
      <w:r>
        <w:rPr>
          <w:rFonts w:hint="eastAsia" w:hAnsi="黑体"/>
        </w:rPr>
        <w:t>点击此处添加ICS号</w:t>
      </w:r>
      <w:r>
        <w:rPr>
          <w:rFonts w:hAnsi="黑体"/>
        </w:rPr>
        <w:fldChar w:fldCharType="end"/>
      </w:r>
      <w:bookmarkEnd w:id="0"/>
    </w:p>
    <w:p w14:paraId="191BC289">
      <w:pPr>
        <w:pStyle w:val="11"/>
        <w:framePr w:wrap="around" w:vAnchor="margin" w:hAnchor="text" w:y="1"/>
        <w:rPr>
          <w:rFonts w:hAnsi="黑体"/>
        </w:rPr>
      </w:pPr>
      <w:r>
        <w:rPr>
          <w:rFonts w:hint="eastAsia" w:hAnsi="黑体"/>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fldChar w:fldCharType="separate"/>
      </w:r>
      <w:r>
        <w:rPr>
          <w:rFonts w:hint="eastAsia" w:hAnsi="黑体"/>
        </w:rPr>
        <w:t>点击此处添加中国标准文献分类号</w:t>
      </w:r>
      <w:r>
        <w:rPr>
          <w:rFonts w:hAnsi="黑体"/>
        </w:rPr>
        <w:fldChar w:fldCharType="end"/>
      </w:r>
      <w:bookmarkEnd w:id="1"/>
    </w:p>
    <w:tbl>
      <w:tblPr>
        <w:tblStyle w:val="8"/>
        <w:tblW w:w="93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5"/>
      </w:tblGrid>
      <w:tr w14:paraId="32CB1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5" w:type="dxa"/>
            <w:tcBorders>
              <w:top w:val="nil"/>
              <w:left w:val="nil"/>
              <w:bottom w:val="nil"/>
              <w:right w:val="nil"/>
            </w:tcBorders>
          </w:tcPr>
          <w:p w14:paraId="425D811D">
            <w:pPr>
              <w:pStyle w:val="11"/>
              <w:framePr w:wrap="around" w:vAnchor="margin" w:hAnchor="text" w:y="1"/>
              <w:rPr>
                <w:rFonts w:ascii="宋体" w:hAnsi="黑体"/>
                <w:sz w:val="18"/>
                <w:szCs w:val="18"/>
              </w:rPr>
            </w:pPr>
          </w:p>
        </w:tc>
      </w:tr>
    </w:tbl>
    <w:p w14:paraId="35A71DE4">
      <w:pPr>
        <w:pStyle w:val="12"/>
        <w:framePr w:wrap="around"/>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14:paraId="3A4D0C93">
      <w:pPr>
        <w:pStyle w:val="14"/>
        <w:framePr w:wrap="around"/>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14:paraId="1FA507B5">
      <w:pPr>
        <w:pStyle w:val="15"/>
        <w:framePr w:wrap="around" w:vAnchor="margin" w:hAnchor="text" w:y="1"/>
        <w:rPr>
          <w:rFonts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8"/>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14:paraId="7F10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130" w:type="dxa"/>
            <w:tcBorders>
              <w:top w:val="nil"/>
              <w:left w:val="nil"/>
              <w:bottom w:val="nil"/>
              <w:right w:val="nil"/>
            </w:tcBorders>
          </w:tcPr>
          <w:p w14:paraId="2CA4B4BB">
            <w:pPr>
              <w:pStyle w:val="16"/>
              <w:framePr w:wrap="around" w:vAnchor="margin" w:hAnchor="text" w:y="1"/>
              <w:rPr>
                <w:rFonts w:ascii="黑体" w:hAnsi="黑体" w:eastAsia="黑体"/>
                <w:sz w:val="18"/>
                <w:szCs w:val="18"/>
              </w:rPr>
            </w:pPr>
            <w:r>
              <w:rPr>
                <w:rFonts w:ascii="黑体" w:hAnsi="黑体" w:eastAsia="黑体"/>
                <w:sz w:val="18"/>
                <w:szCs w:val="18"/>
              </w:rPr>
              <mc:AlternateContent>
                <mc:Choice Requires="wps">
                  <w:drawing>
                    <wp:anchor distT="0" distB="0" distL="114300" distR="114300" simplePos="0" relativeHeight="251664384"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67.4pt;margin-top:2.7pt;height:18pt;width:90pt;z-index:-251652096;mso-width-relative:page;mso-height-relative:page;" fillcolor="#FFFFFF" filled="t" stroked="f" coordsize="21600,21600" o:gfxdata="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mHan71QAAAAgBAAAPAAAAAAAAAAEAIAAAACIAAABk&#10;cnMvZG93bnJldi54bWxQSwECFAAUAAAACACHTuJA6AOOgQkCAAAgBAAADgAAAAAAAAABACAAAAAk&#10;AQAAZHJzL2Uyb0RvYy54bWxQSwUGAAAAAAYABgBZAQAAnwUAAAAA&#10;">
                      <v:fill on="t" focussize="0,0"/>
                      <v:stroke on="f"/>
                      <v:imagedata o:title=""/>
                      <o:lock v:ext="edit" aspectratio="f"/>
                    </v:rect>
                  </w:pict>
                </mc:Fallback>
              </mc:AlternateContent>
            </w:r>
            <w:r>
              <w:rPr>
                <w:rFonts w:ascii="黑体" w:hAnsi="黑体" w:eastAsia="黑体"/>
                <w:sz w:val="18"/>
                <w:szCs w:val="18"/>
              </w:rPr>
              <w:fldChar w:fldCharType="begin">
                <w:ffData>
                  <w:name w:val="DT"/>
                  <w:enabled/>
                  <w:calcOnExit w:val="0"/>
                  <w:entryMacro w:val="ShowHelp4"/>
                  <w:textInput/>
                </w:ffData>
              </w:fldChar>
            </w:r>
            <w:bookmarkStart w:id="6" w:name="DT"/>
            <w:r>
              <w:rPr>
                <w:rFonts w:ascii="黑体" w:hAnsi="黑体" w:eastAsia="黑体"/>
                <w:sz w:val="18"/>
                <w:szCs w:val="18"/>
              </w:rPr>
              <w:instrText xml:space="preserve"> FORMTEXT </w:instrText>
            </w:r>
            <w:r>
              <w:rPr>
                <w:rFonts w:ascii="黑体" w:hAnsi="黑体" w:eastAsia="黑体"/>
                <w:sz w:val="18"/>
                <w:szCs w:val="18"/>
              </w:rPr>
              <w:fldChar w:fldCharType="separate"/>
            </w:r>
            <w:r>
              <w:rPr>
                <w:rFonts w:ascii="黑体" w:hAnsi="黑体" w:eastAsia="黑体"/>
                <w:sz w:val="18"/>
                <w:szCs w:val="18"/>
              </w:rPr>
              <w:t>     </w:t>
            </w:r>
            <w:r>
              <w:rPr>
                <w:rFonts w:ascii="黑体" w:hAnsi="黑体" w:eastAsia="黑体"/>
                <w:sz w:val="18"/>
                <w:szCs w:val="18"/>
              </w:rPr>
              <w:fldChar w:fldCharType="end"/>
            </w:r>
            <w:bookmarkEnd w:id="6"/>
          </w:p>
        </w:tc>
      </w:tr>
    </w:tbl>
    <w:p w14:paraId="32B01568">
      <w:pPr>
        <w:pStyle w:val="15"/>
        <w:framePr w:wrap="around" w:vAnchor="margin" w:hAnchor="text" w:y="1"/>
        <w:rPr>
          <w:rFonts w:hAnsi="黑体"/>
        </w:rPr>
      </w:pPr>
    </w:p>
    <w:p w14:paraId="2ED1A9A6">
      <w:pPr>
        <w:pStyle w:val="15"/>
        <w:framePr w:wrap="around" w:vAnchor="margin" w:hAnchor="text" w:y="1"/>
        <w:rPr>
          <w:rFonts w:hAnsi="黑体"/>
        </w:rPr>
      </w:pPr>
    </w:p>
    <w:p w14:paraId="3386E2CC">
      <w:pPr>
        <w:pStyle w:val="17"/>
        <w:framePr w:wrap="around" w:vAnchor="margin" w:hAnchor="text" w:y="1"/>
      </w:pPr>
      <w:r>
        <w:fldChar w:fldCharType="begin">
          <w:ffData>
            <w:name w:val="StdName"/>
            <w:enabled/>
            <w:calcOnExit w:val="0"/>
            <w:textInput>
              <w:default w:val="家庭环境通用人工智能视觉理解能力测试规范"/>
            </w:textInput>
          </w:ffData>
        </w:fldChar>
      </w:r>
      <w:bookmarkStart w:id="7" w:name="StdName"/>
      <w:r>
        <w:instrText xml:space="preserve"> FORMTEXT </w:instrText>
      </w:r>
      <w:r>
        <w:fldChar w:fldCharType="separate"/>
      </w:r>
      <w:r>
        <w:rPr>
          <w:rFonts w:hint="eastAsia"/>
        </w:rPr>
        <w:t>家庭环境通用人工智能</w:t>
      </w:r>
      <w:r>
        <w:rPr>
          <w:rFonts w:hint="eastAsia"/>
          <w:lang w:val="en-US" w:eastAsia="zh-CN"/>
        </w:rPr>
        <w:t>测试规范 视觉心智能力</w:t>
      </w:r>
      <w:r>
        <w:fldChar w:fldCharType="end"/>
      </w:r>
      <w:bookmarkEnd w:id="7"/>
    </w:p>
    <w:p w14:paraId="713210E7">
      <w:pPr>
        <w:pStyle w:val="18"/>
        <w:framePr w:wrap="around"/>
        <w:rPr>
          <w:rFonts w:ascii="黑体" w:hAnsi="黑体"/>
        </w:rPr>
      </w:pPr>
      <w:r>
        <w:rPr>
          <w:rFonts w:ascii="黑体" w:hAnsi="黑体"/>
        </w:rPr>
        <w:fldChar w:fldCharType="begin">
          <w:ffData>
            <w:name w:val="StdEnglishName"/>
            <w:enabled/>
            <w:calcOnExit w:val="0"/>
            <w:textInput>
              <w:default w:val="Specification of Visual Understanding Ability Test of Artificial General Intelligence in Family Environment"/>
            </w:textInput>
          </w:ffData>
        </w:fldChar>
      </w:r>
      <w:bookmarkStart w:id="8" w:name="StdEnglishName"/>
      <w:r>
        <w:rPr>
          <w:rFonts w:ascii="黑体" w:hAnsi="黑体"/>
        </w:rPr>
        <w:instrText xml:space="preserve"> FORMTEXT </w:instrText>
      </w:r>
      <w:r>
        <w:rPr>
          <w:rFonts w:ascii="黑体" w:hAnsi="黑体"/>
        </w:rPr>
        <w:fldChar w:fldCharType="separate"/>
      </w:r>
      <w:r>
        <w:rPr>
          <w:rFonts w:ascii="黑体" w:hAnsi="黑体"/>
        </w:rPr>
        <w:t>Specification of Visual Understanding Ability Test of Artificial General Intelligence in Family Environment</w:t>
      </w:r>
      <w:r>
        <w:rPr>
          <w:rFonts w:ascii="黑体" w:hAnsi="黑体"/>
        </w:rPr>
        <w:fldChar w:fldCharType="end"/>
      </w:r>
      <w:bookmarkEnd w:id="8"/>
    </w:p>
    <w:p w14:paraId="1BC330F6">
      <w:pPr>
        <w:pStyle w:val="19"/>
        <w:framePr w:wrap="around"/>
        <w:rPr>
          <w:rFonts w:ascii="黑体" w:hAnsi="黑体" w:eastAsia="黑体"/>
        </w:rPr>
      </w:pPr>
      <w:r>
        <w:rPr>
          <w:rFonts w:ascii="黑体" w:hAnsi="黑体" w:eastAsia="黑体"/>
        </w:rPr>
        <w:fldChar w:fldCharType="begin">
          <w:ffData>
            <w:name w:val="YZBS"/>
            <w:enabled/>
            <w:calcOnExit w:val="0"/>
            <w:textInput>
              <w:default w:val="点击此处添加与国际标准一致性程度的标识"/>
            </w:textInput>
          </w:ffData>
        </w:fldChar>
      </w:r>
      <w:bookmarkStart w:id="9" w:name="YZBS"/>
      <w:r>
        <w:rPr>
          <w:rFonts w:ascii="黑体" w:hAnsi="黑体" w:eastAsia="黑体"/>
        </w:rPr>
        <w:instrText xml:space="preserve"> FORMTEXT </w:instrText>
      </w:r>
      <w:r>
        <w:rPr>
          <w:rFonts w:ascii="黑体" w:hAnsi="黑体" w:eastAsia="黑体"/>
        </w:rPr>
        <w:fldChar w:fldCharType="separate"/>
      </w:r>
      <w:r>
        <w:rPr>
          <w:rFonts w:hint="eastAsia" w:ascii="黑体" w:hAnsi="黑体" w:eastAsia="黑体"/>
        </w:rPr>
        <w:t>点击此处添加与国际标准一致性程度的标识</w:t>
      </w:r>
      <w:r>
        <w:rPr>
          <w:rFonts w:ascii="黑体" w:hAnsi="黑体" w:eastAsia="黑体"/>
        </w:rPr>
        <w:fldChar w:fldCharType="end"/>
      </w:r>
      <w:bookmarkEnd w:id="9"/>
    </w:p>
    <w:tbl>
      <w:tblPr>
        <w:tblStyle w:val="8"/>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14:paraId="5914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44CF8FD7">
            <w:pPr>
              <w:pStyle w:val="20"/>
              <w:framePr w:wrap="around"/>
            </w:pPr>
            <w:r>
              <w:rPr>
                <w:sz w:val="18"/>
                <w:szCs w:val="18"/>
              </w:rPr>
              <mc:AlternateContent>
                <mc:Choice Requires="wps">
                  <w:drawing>
                    <wp:anchor distT="0" distB="0" distL="114300" distR="114300" simplePos="0" relativeHeight="251666432"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67.9pt;margin-top:45.15pt;height:20pt;width:150pt;z-index:-251650048;mso-width-relative:page;mso-height-relative:page;" fillcolor="#FFFFFF" filled="t" stroked="f" coordsize="21600,21600" o:gfxdata="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1m6Os1QAAAAoBAAAPAAAAAAAAAAEAIAAAACIAAABk&#10;cnMvZG93bnJldi54bWxQSwECFAAUAAAACACHTuJABeyvQgkCAAAgBAAADgAAAAAAAAABACAAAAAk&#10;AQAAZHJzL2Uyb0RvYy54bWxQSwUGAAAAAAYABgBZAQAAnwUAAAAA&#10;">
                      <v:fill on="t" focussize="0,0"/>
                      <v:stroke on="f"/>
                      <v:imagedata o:title=""/>
                      <o:lock v:ext="edit" aspectratio="f"/>
                      <w10:anchorlock/>
                    </v:rect>
                  </w:pict>
                </mc:Fallback>
              </mc:AlternateContent>
            </w:r>
            <w:r>
              <w:rPr>
                <w:sz w:val="18"/>
                <w:szCs w:val="18"/>
              </w:rPr>
              <mc:AlternateContent>
                <mc:Choice Requires="wps">
                  <w:drawing>
                    <wp:anchor distT="0" distB="0" distL="114300" distR="114300" simplePos="0" relativeHeight="251665408"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6"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87.9pt;margin-top:20.15pt;height:24pt;width:100pt;z-index:-251651072;mso-width-relative:page;mso-height-relative:page;" fillcolor="#FFFFFF" filled="t" stroked="f" coordsize="21600,21600" o:gfxdata="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yfnGDXAAAACQEAAA8AAAAAAAAAAQAgAAAAIgAA&#10;AGRycy9kb3ducmV2LnhtbFBLAQIUABQAAAAIAIdO4kDm9MfaCQIAACAEAAAOAAAAAAAAAAEAIAAA&#10;ACYBAABkcnMvZTJvRG9jLnhtbFBLBQYAAAAABgAGAFkBAAChBQAAAAA=&#10;">
                      <v:fill on="t" focussize="0,0"/>
                      <v:stroke on="f"/>
                      <v:imagedata o:title=""/>
                      <o:lock v:ext="edit" aspectratio="f"/>
                    </v:rect>
                  </w:pict>
                </mc:Fallback>
              </mc:AlternateContent>
            </w:r>
            <w:r>
              <w:rPr>
                <w:sz w:val="18"/>
                <w:szCs w:val="18"/>
              </w:rP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10" w:name="LB"/>
            <w:r>
              <w:rPr>
                <w:sz w:val="18"/>
                <w:szCs w:val="18"/>
              </w:rPr>
              <w:instrText xml:space="preserve"> </w:instrText>
            </w:r>
            <w:r>
              <w:rPr>
                <w:rFonts w:hint="eastAsia"/>
                <w:sz w:val="18"/>
                <w:szCs w:val="18"/>
              </w:rPr>
              <w:instrText xml:space="preserve">FORMDROPDOWN</w:instrText>
            </w:r>
            <w:r>
              <w:rPr>
                <w:sz w:val="18"/>
                <w:szCs w:val="18"/>
              </w:rPr>
              <w:instrText xml:space="preserve"> </w:instrText>
            </w:r>
            <w:r>
              <w:rPr>
                <w:sz w:val="18"/>
                <w:szCs w:val="18"/>
              </w:rPr>
              <w:fldChar w:fldCharType="separate"/>
            </w:r>
            <w:r>
              <w:rPr>
                <w:sz w:val="18"/>
                <w:szCs w:val="18"/>
              </w:rPr>
              <w:fldChar w:fldCharType="end"/>
            </w:r>
            <w:bookmarkEnd w:id="10"/>
          </w:p>
        </w:tc>
      </w:tr>
      <w:tr w14:paraId="752B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14:paraId="0439976F">
            <w:pPr>
              <w:pStyle w:val="21"/>
              <w:framePr w:wrap="around"/>
            </w:pPr>
            <w:r>
              <w:rPr>
                <w:sz w:val="18"/>
                <w:szCs w:val="18"/>
              </w:rPr>
              <w:fldChar w:fldCharType="begin">
                <w:ffData>
                  <w:name w:val="WCRQ"/>
                  <w:enabled/>
                  <w:calcOnExit w:val="0"/>
                  <w:textInput/>
                </w:ffData>
              </w:fldChar>
            </w:r>
            <w:bookmarkStart w:id="11" w:name="WCRQ"/>
            <w:r>
              <w:rPr>
                <w:sz w:val="18"/>
                <w:szCs w:val="18"/>
              </w:rPr>
              <w:instrText xml:space="preserve"> FORMTEXT </w:instrText>
            </w:r>
            <w:r>
              <w:rPr>
                <w:sz w:val="18"/>
                <w:szCs w:val="18"/>
              </w:rPr>
              <w:fldChar w:fldCharType="separate"/>
            </w:r>
            <w:r>
              <w:rPr>
                <w:sz w:val="18"/>
                <w:szCs w:val="18"/>
              </w:rPr>
              <w:t>     </w:t>
            </w:r>
            <w:r>
              <w:rPr>
                <w:sz w:val="18"/>
                <w:szCs w:val="18"/>
              </w:rPr>
              <w:fldChar w:fldCharType="end"/>
            </w:r>
            <w:bookmarkEnd w:id="11"/>
          </w:p>
        </w:tc>
      </w:tr>
    </w:tbl>
    <w:p w14:paraId="4DFF0C17">
      <w:pPr>
        <w:pStyle w:val="22"/>
        <w:framePr w:wrap="around" w:vAnchor="margin" w:hAnchor="text" w:y="1"/>
        <w:rPr>
          <w:rFonts w:ascii="黑体" w:hAnsi="黑体"/>
        </w:rPr>
      </w:pPr>
      <w:r>
        <w:rPr>
          <w:rFonts w:ascii="黑体" w:hAnsi="黑体"/>
        </w:rPr>
        <w:fldChar w:fldCharType="begin">
          <w:ffData>
            <w:name w:val="FY"/>
            <w:enabled/>
            <w:calcOnExit w:val="0"/>
            <w:entryMacro w:val="ShowHelp8"/>
            <w:textInput>
              <w:default w:val="××××"/>
              <w:maxLength w:val="4"/>
            </w:textInput>
          </w:ffData>
        </w:fldChar>
      </w:r>
      <w:bookmarkStart w:id="12"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3"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hint="eastAsia" w:ascii="黑体" w:hAnsi="黑体"/>
        </w:rPr>
        <w:t>发布</w:t>
      </w:r>
      <w:r>
        <w:rPr>
          <w:rFonts w:ascii="黑体" w:hAnsi="黑体"/>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635"/>
                <wp:effectExtent l="0" t="0" r="0" b="0"/>
                <wp:wrapNone/>
                <wp:docPr id="5"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05pt;margin-top:184.25pt;height:0.05pt;width:481.9pt;z-index:251661312;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vHtPzXAAAA&#10;CQEAAA8AAAAAAAAAAQAgAAAAIgAAAGRycy9kb3ducmV2LnhtbFBLAQIUABQAAAAIAIdO4kCB0X+O&#10;5QEAAKwDAAAOAAAAAAAAAAEAIAAAACYBAABkcnMvZTJvRG9jLnhtbFBLBQYAAAAABgAGAFkBAAB9&#10;BQAAAAA=&#10;">
                <v:fill on="f" focussize="0,0"/>
                <v:stroke color="#000000" joinstyle="round"/>
                <v:imagedata o:title=""/>
                <o:lock v:ext="edit" aspectratio="f"/>
              </v:line>
            </w:pict>
          </mc:Fallback>
        </mc:AlternateContent>
      </w:r>
      <w:r>
        <w:rPr>
          <w:rFonts w:ascii="黑体" w:hAns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4"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700.15pt;height:0.05pt;width:481.9pt;z-index:251660288;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E6HudcAAAAL&#10;AQAADwAAAAAAAAABACAAAAAiAAAAZHJzL2Rvd25yZXYueG1sUEsBAhQAFAAAAAgAh07iQJA2M9vk&#10;AQAArAMAAA4AAAAAAAAAAQAgAAAAJgEAAGRycy9lMm9Eb2MueG1sUEsFBgAAAAAGAAYAWQEAAHwF&#10;AAAAAA==&#10;">
                <v:fill on="f" focussize="0,0"/>
                <v:stroke color="#000000" joinstyle="round"/>
                <v:imagedata o:title=""/>
                <o:lock v:ext="edit" aspectratio="f"/>
              </v:line>
            </w:pict>
          </mc:Fallback>
        </mc:AlternateContent>
      </w:r>
    </w:p>
    <w:p w14:paraId="7009EBD7">
      <w:pPr>
        <w:pStyle w:val="23"/>
        <w:framePr w:wrap="around"/>
        <w:rPr>
          <w:rFonts w:ascii="黑体" w:hAnsi="黑体"/>
        </w:rPr>
      </w:pPr>
      <w:r>
        <w:rPr>
          <w:rFonts w:ascii="黑体" w:hAnsi="黑体"/>
        </w:rPr>
        <w:fldChar w:fldCharType="begin">
          <w:ffData>
            <w:name w:val="SY"/>
            <w:enabled/>
            <w:calcOnExit w:val="0"/>
            <w:entryMacro w:val="ShowHelp9"/>
            <w:textInput>
              <w:default w:val="××××"/>
              <w:maxLength w:val="4"/>
            </w:textInput>
          </w:ffData>
        </w:fldChar>
      </w:r>
      <w:bookmarkStart w:id="14"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5"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5"/>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6"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6"/>
      <w:r>
        <w:rPr>
          <w:rFonts w:hint="eastAsia" w:ascii="黑体" w:hAnsi="黑体"/>
        </w:rPr>
        <w:t>实施</w:t>
      </w:r>
    </w:p>
    <w:p w14:paraId="6AC0F6DA">
      <w:pPr>
        <w:pStyle w:val="25"/>
        <w:framePr w:h="524" w:hRule="exact" w:wrap="around"/>
      </w:pPr>
      <w:r>
        <w:fldChar w:fldCharType="begin">
          <w:ffData>
            <w:name w:val="fm"/>
            <w:enabled/>
            <w:calcOnExit w:val="0"/>
            <w:textInput/>
          </w:ffData>
        </w:fldChar>
      </w:r>
      <w:bookmarkStart w:id="17" w:name="fm"/>
      <w:r>
        <w:instrText xml:space="preserve"> FORMTEXT </w:instrText>
      </w:r>
      <w:r>
        <w:fldChar w:fldCharType="separate"/>
      </w:r>
      <w:r>
        <w:rPr>
          <w:rFonts w:hint="eastAsia"/>
        </w:rPr>
        <w:t>北京市市场监督</w:t>
      </w:r>
      <w:r>
        <w:t>管理局</w:t>
      </w:r>
      <w:r>
        <w:fldChar w:fldCharType="end"/>
      </w:r>
      <w:bookmarkEnd w:id="17"/>
      <w:r>
        <w:t xml:space="preserve"> </w:t>
      </w:r>
      <w:r>
        <w:rPr>
          <w:rStyle w:val="28"/>
        </w:rPr>
        <w:t xml:space="preserve"> </w:t>
      </w:r>
      <w:r>
        <w:rPr>
          <w:rStyle w:val="28"/>
          <w:rFonts w:hint="eastAsia"/>
        </w:rPr>
        <w:t>发布</w:t>
      </w:r>
    </w:p>
    <w:p w14:paraId="706D1273">
      <w:pPr>
        <w:pStyle w:val="27"/>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p>
    <w:p w14:paraId="314C974F">
      <w:pPr>
        <w:pStyle w:val="27"/>
        <w:sectPr>
          <w:type w:val="continuous"/>
          <w:pgSz w:w="11906" w:h="16838"/>
          <w:pgMar w:top="567" w:right="1134" w:bottom="1134" w:left="1417" w:header="0" w:footer="0" w:gutter="0"/>
          <w:pgNumType w:fmt="upperRoman" w:start="1"/>
          <w:cols w:space="425" w:num="1"/>
          <w:docGrid w:type="lines" w:linePitch="312" w:charSpace="0"/>
        </w:sectPr>
      </w:pPr>
      <w:r>
        <mc:AlternateContent>
          <mc:Choice Requires="wps">
            <w:drawing>
              <wp:anchor distT="0" distB="0" distL="114300" distR="114300" simplePos="0" relativeHeight="251667456" behindDoc="1" locked="0" layoutInCell="1" allowOverlap="1">
                <wp:simplePos x="0" y="0"/>
                <wp:positionH relativeFrom="column">
                  <wp:posOffset>-66675</wp:posOffset>
                </wp:positionH>
                <wp:positionV relativeFrom="paragraph">
                  <wp:posOffset>396240</wp:posOffset>
                </wp:positionV>
                <wp:extent cx="866775" cy="198120"/>
                <wp:effectExtent l="0" t="0" r="9525" b="508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31.2pt;height:15.6pt;width:68.25pt;z-index:-251649024;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BkAU9cAAAAJAQAADwAAAAAAAAABACAA&#10;AAAiAAAAZHJzL2Rvd25yZXYueG1sUEsBAhQAFAAAAAgAh07iQDLMYQcOAgAAIAQAAA4AAAAAAAAA&#10;AQAgAAAAJgEAAGRycy9lMm9Eb2MueG1sUEsFBgAAAAAGAAYAWQEAAKYFAAAAAA==&#10;">
                <v:fill on="t" focussize="0,0"/>
                <v:stroke on="f"/>
                <v:imagedata o:title=""/>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2339975</wp:posOffset>
                </wp:positionV>
                <wp:extent cx="6120130" cy="635"/>
                <wp:effectExtent l="0" t="0" r="0" b="0"/>
                <wp:wrapNone/>
                <wp:docPr id="2"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0.05pt;margin-top:184.25pt;height:0.05pt;width:481.9pt;z-index:251663360;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vHtPzXAAAA&#10;CQEAAA8AAAAAAAAAAQAgAAAAIgAAAGRycy9kb3ducmV2LnhtbFBLAQIUABQAAAAIAIdO4kBQpfLj&#10;5QEAAKwDAAAOAAAAAAAAAAEAIAAAACY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8891905</wp:posOffset>
                </wp:positionV>
                <wp:extent cx="6120130" cy="635"/>
                <wp:effectExtent l="0" t="0" r="0" b="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0.05pt;margin-top:700.15pt;height:0.05pt;width:481.9pt;z-index:251662336;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BOh7nXAAAA&#10;CwEAAA8AAAAAAAAAAQAgAAAAIgAAAGRycy9kb3ducmV2LnhtbFBLAQIUABQAAAAIAIdO4kDdPK6K&#10;5QEAAKwDAAAOAAAAAAAAAAEAIAAAACYBAABkcnMvZTJvRG9jLnhtbFBLBQYAAAAABgAGAFkBAAB9&#10;BQAAAAA=&#10;">
                <v:fill on="f" focussize="0,0"/>
                <v:stroke color="#000000" joinstyle="round"/>
                <v:imagedata o:title=""/>
                <o:lock v:ext="edit" aspectratio="f"/>
              </v:line>
            </w:pict>
          </mc:Fallback>
        </mc:AlternateContent>
      </w:r>
    </w:p>
    <w:p w14:paraId="528212A7">
      <w:pPr>
        <w:pStyle w:val="29"/>
      </w:pPr>
      <w:bookmarkStart w:id="18" w:name="_Toc205400277"/>
      <w:r>
        <w:rPr>
          <w:rFonts w:hint="eastAsia"/>
        </w:rPr>
        <w:t>目</w:t>
      </w:r>
      <w:bookmarkStart w:id="19" w:name="BKML"/>
      <w:r>
        <w:rPr>
          <w:rFonts w:hAnsi="黑体"/>
        </w:rPr>
        <w:t>  </w:t>
      </w:r>
      <w:r>
        <w:rPr>
          <w:rFonts w:hint="eastAsia"/>
        </w:rPr>
        <w:t>次</w:t>
      </w:r>
      <w:bookmarkEnd w:id="18"/>
      <w:bookmarkEnd w:id="19"/>
    </w:p>
    <w:sdt>
      <w:sdtPr>
        <w:rPr>
          <w:rFonts w:ascii="Times New Roman"/>
          <w:szCs w:val="24"/>
          <w:lang w:val="zh-CN"/>
        </w:rPr>
        <w:id w:val="147477515"/>
        <w:docPartObj>
          <w:docPartGallery w:val="Table of Contents"/>
          <w:docPartUnique/>
        </w:docPartObj>
      </w:sdtPr>
      <w:sdtEndPr>
        <w:rPr>
          <w:rFonts w:ascii="Times New Roman"/>
          <w:b/>
          <w:bCs/>
          <w:szCs w:val="24"/>
          <w:lang w:val="zh-CN"/>
        </w:rPr>
      </w:sdtEndPr>
      <w:sdtContent>
        <w:p w14:paraId="67C5917F">
          <w:pPr>
            <w:pStyle w:val="4"/>
            <w:spacing w:before="78" w:after="78"/>
          </w:pPr>
          <w:r>
            <w:fldChar w:fldCharType="begin"/>
          </w:r>
          <w:r>
            <w:instrText xml:space="preserve"> TOC \o "1-3" \h \z \u </w:instrText>
          </w:r>
          <w:r>
            <w:fldChar w:fldCharType="separate"/>
          </w:r>
          <w:r>
            <w:fldChar w:fldCharType="begin"/>
          </w:r>
          <w:r>
            <w:instrText xml:space="preserve"> HYPERLINK \l "_Toc205400278" </w:instrText>
          </w:r>
          <w:r>
            <w:fldChar w:fldCharType="separate"/>
          </w:r>
          <w:r>
            <w:rPr>
              <w:rStyle w:val="10"/>
            </w:rPr>
            <w:t>前言</w:t>
          </w:r>
          <w:r>
            <w:tab/>
          </w:r>
          <w:r>
            <w:fldChar w:fldCharType="begin"/>
          </w:r>
          <w:r>
            <w:instrText xml:space="preserve"> PAGEREF _Toc205400278 \h </w:instrText>
          </w:r>
          <w:r>
            <w:fldChar w:fldCharType="separate"/>
          </w:r>
          <w:r>
            <w:t>II</w:t>
          </w:r>
          <w:r>
            <w:fldChar w:fldCharType="end"/>
          </w:r>
          <w:r>
            <w:fldChar w:fldCharType="end"/>
          </w:r>
        </w:p>
        <w:p w14:paraId="30DFD7D3">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"_Toc205400281" </w:instrText>
          </w:r>
          <w:r>
            <w:fldChar w:fldCharType="separate"/>
          </w:r>
          <w:r>
            <w:rPr>
              <w:rStyle w:val="10"/>
            </w:rPr>
            <w:t>1 范围</w:t>
          </w:r>
          <w:r>
            <w:tab/>
          </w:r>
          <w:r>
            <w:fldChar w:fldCharType="begin"/>
          </w:r>
          <w:r>
            <w:instrText xml:space="preserve"> PAGEREF _Toc205400281 \h </w:instrText>
          </w:r>
          <w:r>
            <w:fldChar w:fldCharType="separate"/>
          </w:r>
          <w:r>
            <w:t>1</w:t>
          </w:r>
          <w:r>
            <w:fldChar w:fldCharType="end"/>
          </w:r>
          <w:r>
            <w:fldChar w:fldCharType="end"/>
          </w:r>
        </w:p>
        <w:p w14:paraId="671D25C6">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"_Toc205400282" </w:instrText>
          </w:r>
          <w:r>
            <w:fldChar w:fldCharType="separate"/>
          </w:r>
          <w:r>
            <w:rPr>
              <w:rStyle w:val="10"/>
            </w:rPr>
            <w:t>2 规范性引用文件</w:t>
          </w:r>
          <w:r>
            <w:tab/>
          </w:r>
          <w:r>
            <w:fldChar w:fldCharType="begin"/>
          </w:r>
          <w:r>
            <w:instrText xml:space="preserve"> PAGEREF _Toc205400282 \h </w:instrText>
          </w:r>
          <w:r>
            <w:fldChar w:fldCharType="separate"/>
          </w:r>
          <w:r>
            <w:t>1</w:t>
          </w:r>
          <w:r>
            <w:fldChar w:fldCharType="end"/>
          </w:r>
          <w:r>
            <w:fldChar w:fldCharType="end"/>
          </w:r>
        </w:p>
        <w:p w14:paraId="4C1D5FC2">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"_Toc205400283" </w:instrText>
          </w:r>
          <w:r>
            <w:fldChar w:fldCharType="separate"/>
          </w:r>
          <w:r>
            <w:rPr>
              <w:rStyle w:val="10"/>
            </w:rPr>
            <w:t>3 术语和定义</w:t>
          </w:r>
          <w:r>
            <w:tab/>
          </w:r>
          <w:r>
            <w:fldChar w:fldCharType="begin"/>
          </w:r>
          <w:r>
            <w:instrText xml:space="preserve"> PAGEREF _Toc205400283 \h </w:instrText>
          </w:r>
          <w:r>
            <w:fldChar w:fldCharType="separate"/>
          </w:r>
          <w:r>
            <w:t>1</w:t>
          </w:r>
          <w:r>
            <w:fldChar w:fldCharType="end"/>
          </w:r>
          <w:r>
            <w:fldChar w:fldCharType="end"/>
          </w:r>
        </w:p>
        <w:p w14:paraId="0219ACE0">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"_Toc205400289" </w:instrText>
          </w:r>
          <w:r>
            <w:fldChar w:fldCharType="separate"/>
          </w:r>
          <w:r>
            <w:rPr>
              <w:rStyle w:val="10"/>
            </w:rPr>
            <w:t>4 测试指标体系</w:t>
          </w:r>
          <w:r>
            <w:tab/>
          </w:r>
          <w:r>
            <w:fldChar w:fldCharType="begin"/>
          </w:r>
          <w:r>
            <w:instrText xml:space="preserve"> PAGEREF _Toc205400289 \h </w:instrText>
          </w:r>
          <w:r>
            <w:fldChar w:fldCharType="separate"/>
          </w:r>
          <w:r>
            <w:t>2</w:t>
          </w:r>
          <w:r>
            <w:fldChar w:fldCharType="end"/>
          </w:r>
          <w:r>
            <w:fldChar w:fldCharType="end"/>
          </w:r>
        </w:p>
        <w:p w14:paraId="575D8074">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"_Toc205400290" </w:instrText>
          </w:r>
          <w:r>
            <w:fldChar w:fldCharType="separate"/>
          </w:r>
          <w:r>
            <w:rPr>
              <w:rStyle w:val="10"/>
            </w:rPr>
            <w:t>4.1　测试指标概述</w:t>
          </w:r>
          <w:r>
            <w:tab/>
          </w:r>
          <w:r>
            <w:fldChar w:fldCharType="begin"/>
          </w:r>
          <w:r>
            <w:instrText xml:space="preserve"> PAGEREF _Toc205400290 \h </w:instrText>
          </w:r>
          <w:r>
            <w:fldChar w:fldCharType="separate"/>
          </w:r>
          <w:r>
            <w:t>2</w:t>
          </w:r>
          <w:r>
            <w:fldChar w:fldCharType="end"/>
          </w:r>
          <w:r>
            <w:fldChar w:fldCharType="end"/>
          </w:r>
        </w:p>
        <w:p w14:paraId="2C57A277">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"_Toc205400291" </w:instrText>
          </w:r>
          <w:r>
            <w:fldChar w:fldCharType="separate"/>
          </w:r>
          <w:r>
            <w:rPr>
              <w:rStyle w:val="10"/>
            </w:rPr>
            <w:t>4.2　任务泛化能力</w:t>
          </w:r>
          <w:r>
            <w:tab/>
          </w:r>
          <w:r>
            <w:fldChar w:fldCharType="begin"/>
          </w:r>
          <w:r>
            <w:instrText xml:space="preserve"> PAGEREF _Toc205400291 \h </w:instrText>
          </w:r>
          <w:r>
            <w:fldChar w:fldCharType="separate"/>
          </w:r>
          <w:r>
            <w:t>2</w:t>
          </w:r>
          <w:r>
            <w:fldChar w:fldCharType="end"/>
          </w:r>
          <w:r>
            <w:fldChar w:fldCharType="end"/>
          </w:r>
        </w:p>
        <w:p w14:paraId="6F59C710">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"_Toc205400292" </w:instrText>
          </w:r>
          <w:r>
            <w:fldChar w:fldCharType="separate"/>
          </w:r>
          <w:r>
            <w:rPr>
              <w:rStyle w:val="10"/>
            </w:rPr>
            <w:t>4.3　自主生成任务</w:t>
          </w:r>
          <w:r>
            <w:tab/>
          </w:r>
          <w:r>
            <w:fldChar w:fldCharType="begin"/>
          </w:r>
          <w:r>
            <w:instrText xml:space="preserve"> PAGEREF _Toc205400292 \h </w:instrText>
          </w:r>
          <w:r>
            <w:fldChar w:fldCharType="separate"/>
          </w:r>
          <w:r>
            <w:t>3</w:t>
          </w:r>
          <w:r>
            <w:fldChar w:fldCharType="end"/>
          </w:r>
          <w:r>
            <w:fldChar w:fldCharType="end"/>
          </w:r>
        </w:p>
        <w:p w14:paraId="39A6108E">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"_Toc205400293" </w:instrText>
          </w:r>
          <w:r>
            <w:fldChar w:fldCharType="separate"/>
          </w:r>
          <w:r>
            <w:rPr>
              <w:rStyle w:val="10"/>
            </w:rPr>
            <w:t>5 测试</w:t>
          </w:r>
          <w:r>
            <w:rPr>
              <w:rStyle w:val="10"/>
              <w:rFonts w:hint="eastAsia"/>
            </w:rPr>
            <w:t>任务维度</w:t>
          </w:r>
          <w:r>
            <w:tab/>
          </w:r>
          <w:r>
            <w:fldChar w:fldCharType="begin"/>
          </w:r>
          <w:r>
            <w:instrText xml:space="preserve"> PAGEREF _Toc205400293 \h </w:instrText>
          </w:r>
          <w:r>
            <w:fldChar w:fldCharType="separate"/>
          </w:r>
          <w:r>
            <w:t>4</w:t>
          </w:r>
          <w:r>
            <w:fldChar w:fldCharType="end"/>
          </w:r>
          <w:r>
            <w:fldChar w:fldCharType="end"/>
          </w:r>
        </w:p>
        <w:p w14:paraId="5792238E">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"_Toc205400294" </w:instrText>
          </w:r>
          <w:r>
            <w:fldChar w:fldCharType="separate"/>
          </w:r>
          <w:r>
            <w:rPr>
              <w:rStyle w:val="10"/>
            </w:rPr>
            <w:t>5.1　概述</w:t>
          </w:r>
          <w:r>
            <w:tab/>
          </w:r>
          <w:r>
            <w:fldChar w:fldCharType="begin"/>
          </w:r>
          <w:r>
            <w:instrText xml:space="preserve"> PAGEREF _Toc205400294 \h </w:instrText>
          </w:r>
          <w:r>
            <w:fldChar w:fldCharType="separate"/>
          </w:r>
          <w:r>
            <w:t>4</w:t>
          </w:r>
          <w:r>
            <w:fldChar w:fldCharType="end"/>
          </w:r>
          <w:r>
            <w:fldChar w:fldCharType="end"/>
          </w:r>
        </w:p>
        <w:p w14:paraId="252945F4">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"_Toc205400295" </w:instrText>
          </w:r>
          <w:r>
            <w:fldChar w:fldCharType="separate"/>
          </w:r>
          <w:r>
            <w:rPr>
              <w:rStyle w:val="10"/>
            </w:rPr>
            <w:t>5.2　客体属性及关系理解</w:t>
          </w:r>
          <w:r>
            <w:tab/>
          </w:r>
          <w:r>
            <w:fldChar w:fldCharType="begin"/>
          </w:r>
          <w:r>
            <w:instrText xml:space="preserve"> PAGEREF _Toc205400295 \h </w:instrText>
          </w:r>
          <w:r>
            <w:fldChar w:fldCharType="separate"/>
          </w:r>
          <w:r>
            <w:t>5</w:t>
          </w:r>
          <w:r>
            <w:fldChar w:fldCharType="end"/>
          </w:r>
          <w:r>
            <w:fldChar w:fldCharType="end"/>
          </w:r>
        </w:p>
        <w:p w14:paraId="3BEB806C">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"_Toc205400296" </w:instrText>
          </w:r>
          <w:r>
            <w:fldChar w:fldCharType="separate"/>
          </w:r>
          <w:r>
            <w:rPr>
              <w:rStyle w:val="10"/>
            </w:rPr>
            <w:t>5.3　视觉语言联合解译</w:t>
          </w:r>
          <w:r>
            <w:tab/>
          </w:r>
          <w:r>
            <w:fldChar w:fldCharType="begin"/>
          </w:r>
          <w:r>
            <w:instrText xml:space="preserve"> PAGEREF _Toc205400296 \h </w:instrText>
          </w:r>
          <w:r>
            <w:fldChar w:fldCharType="separate"/>
          </w:r>
          <w:r>
            <w:t>5</w:t>
          </w:r>
          <w:r>
            <w:fldChar w:fldCharType="end"/>
          </w:r>
          <w:r>
            <w:fldChar w:fldCharType="end"/>
          </w:r>
        </w:p>
        <w:p w14:paraId="4FD28200">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"_Toc205400297" </w:instrText>
          </w:r>
          <w:r>
            <w:fldChar w:fldCharType="separate"/>
          </w:r>
          <w:r>
            <w:rPr>
              <w:rStyle w:val="10"/>
            </w:rPr>
            <w:t>5.4　状态理解</w:t>
          </w:r>
          <w:r>
            <w:tab/>
          </w:r>
          <w:r>
            <w:fldChar w:fldCharType="begin"/>
          </w:r>
          <w:r>
            <w:instrText xml:space="preserve"> PAGEREF _Toc205400297 \h </w:instrText>
          </w:r>
          <w:r>
            <w:fldChar w:fldCharType="separate"/>
          </w:r>
          <w:r>
            <w:t>5</w:t>
          </w:r>
          <w:r>
            <w:fldChar w:fldCharType="end"/>
          </w:r>
          <w:r>
            <w:fldChar w:fldCharType="end"/>
          </w:r>
        </w:p>
        <w:p w14:paraId="4E4A5191">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"_Toc205400298" </w:instrText>
          </w:r>
          <w:r>
            <w:fldChar w:fldCharType="separate"/>
          </w:r>
          <w:r>
            <w:rPr>
              <w:rStyle w:val="10"/>
            </w:rPr>
            <w:t>5.5　视觉常识理解</w:t>
          </w:r>
          <w:r>
            <w:tab/>
          </w:r>
          <w:r>
            <w:fldChar w:fldCharType="begin"/>
          </w:r>
          <w:r>
            <w:instrText xml:space="preserve"> PAGEREF _Toc205400298 \h </w:instrText>
          </w:r>
          <w:r>
            <w:fldChar w:fldCharType="separate"/>
          </w:r>
          <w:r>
            <w:t>5</w:t>
          </w:r>
          <w:r>
            <w:fldChar w:fldCharType="end"/>
          </w:r>
          <w:r>
            <w:fldChar w:fldCharType="end"/>
          </w:r>
        </w:p>
        <w:p w14:paraId="669F5FB1">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"_Toc205400299" </w:instrText>
          </w:r>
          <w:r>
            <w:fldChar w:fldCharType="separate"/>
          </w:r>
          <w:r>
            <w:rPr>
              <w:rStyle w:val="10"/>
            </w:rPr>
            <w:t>5.6　事件理解</w:t>
          </w:r>
          <w:r>
            <w:tab/>
          </w:r>
          <w:r>
            <w:fldChar w:fldCharType="begin"/>
          </w:r>
          <w:r>
            <w:instrText xml:space="preserve"> PAGEREF _Toc205400299 \h </w:instrText>
          </w:r>
          <w:r>
            <w:fldChar w:fldCharType="separate"/>
          </w:r>
          <w:r>
            <w:t>5</w:t>
          </w:r>
          <w:r>
            <w:fldChar w:fldCharType="end"/>
          </w:r>
          <w:r>
            <w:fldChar w:fldCharType="end"/>
          </w:r>
        </w:p>
        <w:p w14:paraId="33A86C16">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"_Toc205400300" </w:instrText>
          </w:r>
          <w:r>
            <w:fldChar w:fldCharType="separate"/>
          </w:r>
          <w:r>
            <w:rPr>
              <w:rStyle w:val="10"/>
            </w:rPr>
            <w:t>5.7　行为意图理解</w:t>
          </w:r>
          <w:r>
            <w:tab/>
          </w:r>
          <w:r>
            <w:fldChar w:fldCharType="begin"/>
          </w:r>
          <w:r>
            <w:instrText xml:space="preserve"> PAGEREF _Toc205400300 \h </w:instrText>
          </w:r>
          <w:r>
            <w:fldChar w:fldCharType="separate"/>
          </w:r>
          <w:r>
            <w:t>6</w:t>
          </w:r>
          <w:r>
            <w:fldChar w:fldCharType="end"/>
          </w:r>
          <w:r>
            <w:fldChar w:fldCharType="end"/>
          </w:r>
        </w:p>
        <w:p w14:paraId="4E1E7683">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"_Toc205400301" </w:instrText>
          </w:r>
          <w:r>
            <w:fldChar w:fldCharType="separate"/>
          </w:r>
          <w:r>
            <w:rPr>
              <w:rStyle w:val="10"/>
            </w:rPr>
            <w:t>5.8　情绪理解</w:t>
          </w:r>
          <w:r>
            <w:tab/>
          </w:r>
          <w:r>
            <w:fldChar w:fldCharType="begin"/>
          </w:r>
          <w:r>
            <w:instrText xml:space="preserve"> PAGEREF _Toc205400301 \h </w:instrText>
          </w:r>
          <w:r>
            <w:fldChar w:fldCharType="separate"/>
          </w:r>
          <w:r>
            <w:t>6</w:t>
          </w:r>
          <w:r>
            <w:fldChar w:fldCharType="end"/>
          </w:r>
          <w:r>
            <w:fldChar w:fldCharType="end"/>
          </w:r>
        </w:p>
        <w:p w14:paraId="4902F109">
          <w:pPr>
            <w:pStyle w:val="5"/>
            <w:spacing w:before="78" w:beforeLines="25" w:after="78" w:afterLines="25"/>
            <w:rPr>
              <w:rFonts w:asciiTheme="minorHAnsi" w:hAnsiTheme="minorHAnsi" w:eastAsiaTheme="minorEastAsia" w:cstheme="minorBidi"/>
              <w:sz w:val="22"/>
              <w:szCs w:val="24"/>
            </w:rPr>
          </w:pPr>
          <w:r>
            <w:fldChar w:fldCharType="begin"/>
          </w:r>
          <w:r>
            <w:instrText xml:space="preserve"> HYPERLINK \l "_Toc205400302" </w:instrText>
          </w:r>
          <w:r>
            <w:fldChar w:fldCharType="separate"/>
          </w:r>
          <w:r>
            <w:rPr>
              <w:rStyle w:val="10"/>
            </w:rPr>
            <w:t>6 测试</w:t>
          </w:r>
          <w:r>
            <w:rPr>
              <w:rStyle w:val="10"/>
              <w:rFonts w:hint="eastAsia"/>
            </w:rPr>
            <w:t>流程</w:t>
          </w:r>
          <w:r>
            <w:tab/>
          </w:r>
          <w:r>
            <w:fldChar w:fldCharType="begin"/>
          </w:r>
          <w:r>
            <w:instrText xml:space="preserve"> PAGEREF _Toc205400302 \h </w:instrText>
          </w:r>
          <w:r>
            <w:fldChar w:fldCharType="separate"/>
          </w:r>
          <w:r>
            <w:t>6</w:t>
          </w:r>
          <w:r>
            <w:fldChar w:fldCharType="end"/>
          </w:r>
          <w:r>
            <w:fldChar w:fldCharType="end"/>
          </w:r>
        </w:p>
        <w:p w14:paraId="1CECD2BF">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"_Toc205400303" </w:instrText>
          </w:r>
          <w:r>
            <w:fldChar w:fldCharType="separate"/>
          </w:r>
          <w:r>
            <w:rPr>
              <w:rStyle w:val="10"/>
            </w:rPr>
            <w:t>6.1　概述</w:t>
          </w:r>
          <w:r>
            <w:tab/>
          </w:r>
          <w:r>
            <w:fldChar w:fldCharType="begin"/>
          </w:r>
          <w:r>
            <w:instrText xml:space="preserve"> PAGEREF _Toc205400303 \h </w:instrText>
          </w:r>
          <w:r>
            <w:fldChar w:fldCharType="separate"/>
          </w:r>
          <w:r>
            <w:t>6</w:t>
          </w:r>
          <w:r>
            <w:fldChar w:fldCharType="end"/>
          </w:r>
          <w:r>
            <w:fldChar w:fldCharType="end"/>
          </w:r>
        </w:p>
        <w:p w14:paraId="510FFF53">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"_Toc205400304" </w:instrText>
          </w:r>
          <w:r>
            <w:fldChar w:fldCharType="separate"/>
          </w:r>
          <w:r>
            <w:rPr>
              <w:rStyle w:val="10"/>
            </w:rPr>
            <w:t>6.2　测试准备</w:t>
          </w:r>
          <w:r>
            <w:tab/>
          </w:r>
          <w:r>
            <w:fldChar w:fldCharType="begin"/>
          </w:r>
          <w:r>
            <w:instrText xml:space="preserve"> PAGEREF _Toc205400304 \h </w:instrText>
          </w:r>
          <w:r>
            <w:fldChar w:fldCharType="separate"/>
          </w:r>
          <w:r>
            <w:t>7</w:t>
          </w:r>
          <w:r>
            <w:fldChar w:fldCharType="end"/>
          </w:r>
          <w:r>
            <w:fldChar w:fldCharType="end"/>
          </w:r>
        </w:p>
        <w:p w14:paraId="47DB13C1">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"_Toc205400305" </w:instrText>
          </w:r>
          <w:r>
            <w:fldChar w:fldCharType="separate"/>
          </w:r>
          <w:r>
            <w:rPr>
              <w:rStyle w:val="10"/>
            </w:rPr>
            <w:t>6.3　测试执行</w:t>
          </w:r>
          <w:r>
            <w:tab/>
          </w:r>
          <w:r>
            <w:fldChar w:fldCharType="begin"/>
          </w:r>
          <w:r>
            <w:instrText xml:space="preserve"> PAGEREF _Toc205400305 \h </w:instrText>
          </w:r>
          <w:r>
            <w:fldChar w:fldCharType="separate"/>
          </w:r>
          <w:r>
            <w:t>7</w:t>
          </w:r>
          <w:r>
            <w:fldChar w:fldCharType="end"/>
          </w:r>
          <w:r>
            <w:fldChar w:fldCharType="end"/>
          </w:r>
        </w:p>
        <w:p w14:paraId="388E4AB3">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"_Toc205400306" </w:instrText>
          </w:r>
          <w:r>
            <w:fldChar w:fldCharType="separate"/>
          </w:r>
          <w:r>
            <w:rPr>
              <w:rStyle w:val="10"/>
            </w:rPr>
            <w:t>6.4　测试结果</w:t>
          </w:r>
          <w:r>
            <w:tab/>
          </w:r>
          <w:r>
            <w:fldChar w:fldCharType="begin"/>
          </w:r>
          <w:r>
            <w:instrText xml:space="preserve"> PAGEREF _Toc205400306 \h </w:instrText>
          </w:r>
          <w:r>
            <w:fldChar w:fldCharType="separate"/>
          </w:r>
          <w:r>
            <w:t>7</w:t>
          </w:r>
          <w:r>
            <w:fldChar w:fldCharType="end"/>
          </w:r>
          <w:r>
            <w:fldChar w:fldCharType="end"/>
          </w:r>
        </w:p>
        <w:p w14:paraId="3B93532A">
          <w:pPr>
            <w:pStyle w:val="4"/>
            <w:spacing w:before="78" w:after="78"/>
            <w:rPr>
              <w:rFonts w:asciiTheme="minorHAnsi" w:hAnsiTheme="minorHAnsi" w:eastAsiaTheme="minorEastAsia" w:cstheme="minorBidi"/>
              <w:sz w:val="22"/>
              <w:szCs w:val="24"/>
            </w:rPr>
          </w:pPr>
          <w:r>
            <w:fldChar w:fldCharType="begin"/>
          </w:r>
          <w:r>
            <w:instrText xml:space="preserve"> HYPERLINK \l "_Toc205400311" </w:instrText>
          </w:r>
          <w:r>
            <w:fldChar w:fldCharType="separate"/>
          </w:r>
          <w:r>
            <w:rPr>
              <w:rStyle w:val="10"/>
            </w:rPr>
            <w:t>附录A （资料性） 家庭环境通用人工智能视觉</w:t>
          </w:r>
          <w:r>
            <w:rPr>
              <w:rStyle w:val="10"/>
              <w:rFonts w:hint="eastAsia"/>
            </w:rPr>
            <w:t>心智</w:t>
          </w:r>
          <w:r>
            <w:rPr>
              <w:rStyle w:val="10"/>
            </w:rPr>
            <w:t>能力测试结果示例</w:t>
          </w:r>
          <w:r>
            <w:tab/>
          </w:r>
          <w:r>
            <w:fldChar w:fldCharType="begin"/>
          </w:r>
          <w:r>
            <w:instrText xml:space="preserve"> PAGEREF _Toc205400311 \h </w:instrText>
          </w:r>
          <w:r>
            <w:fldChar w:fldCharType="separate"/>
          </w:r>
          <w:r>
            <w:t>9</w:t>
          </w:r>
          <w:r>
            <w:fldChar w:fldCharType="end"/>
          </w:r>
          <w:r>
            <w:fldChar w:fldCharType="end"/>
          </w:r>
        </w:p>
        <w:p w14:paraId="5A7E95E5">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"_Toc205400312" </w:instrText>
          </w:r>
          <w:r>
            <w:fldChar w:fldCharType="separate"/>
          </w:r>
          <w:r>
            <w:rPr>
              <w:rStyle w:val="10"/>
            </w:rPr>
            <w:t>A.1</w:t>
          </w:r>
          <w:r>
            <w:rPr>
              <w:rStyle w:val="10"/>
              <w:rFonts w:hAnsi="黑体"/>
            </w:rPr>
            <w:t xml:space="preserve"> 测试</w:t>
          </w:r>
          <w:r>
            <w:rPr>
              <w:rStyle w:val="10"/>
              <w:rFonts w:hint="eastAsia" w:hAnsi="黑体"/>
            </w:rPr>
            <w:t>任务</w:t>
          </w:r>
          <w:r>
            <w:tab/>
          </w:r>
          <w:r>
            <w:fldChar w:fldCharType="begin"/>
          </w:r>
          <w:r>
            <w:instrText xml:space="preserve"> PAGEREF _Toc205400312 \h </w:instrText>
          </w:r>
          <w:r>
            <w:fldChar w:fldCharType="separate"/>
          </w:r>
          <w:r>
            <w:t>9</w:t>
          </w:r>
          <w:r>
            <w:fldChar w:fldCharType="end"/>
          </w:r>
          <w:r>
            <w:fldChar w:fldCharType="end"/>
          </w:r>
        </w:p>
        <w:p w14:paraId="64B8E46C">
          <w:pPr>
            <w:pStyle w:val="5"/>
            <w:spacing w:before="78" w:beforeLines="25" w:after="78" w:afterLines="25"/>
            <w:ind w:firstLine="210" w:firstLineChars="100"/>
            <w:rPr>
              <w:rFonts w:asciiTheme="minorHAnsi" w:hAnsiTheme="minorHAnsi" w:eastAsiaTheme="minorEastAsia" w:cstheme="minorBidi"/>
              <w:sz w:val="22"/>
              <w:szCs w:val="24"/>
            </w:rPr>
          </w:pPr>
          <w:r>
            <w:fldChar w:fldCharType="begin"/>
          </w:r>
          <w:r>
            <w:instrText xml:space="preserve"> HYPERLINK \l "_Toc205400313" </w:instrText>
          </w:r>
          <w:r>
            <w:fldChar w:fldCharType="separate"/>
          </w:r>
          <w:r>
            <w:rPr>
              <w:rStyle w:val="10"/>
            </w:rPr>
            <w:t>A.2</w:t>
          </w:r>
          <w:r>
            <w:rPr>
              <w:rStyle w:val="10"/>
              <w:rFonts w:hAnsi="黑体"/>
            </w:rPr>
            <w:t xml:space="preserve"> 测试结果</w:t>
          </w:r>
          <w:r>
            <w:tab/>
          </w:r>
          <w:r>
            <w:fldChar w:fldCharType="begin"/>
          </w:r>
          <w:r>
            <w:instrText xml:space="preserve"> PAGEREF _Toc205400313 \h </w:instrText>
          </w:r>
          <w:r>
            <w:fldChar w:fldCharType="separate"/>
          </w:r>
          <w:r>
            <w:t>9</w:t>
          </w:r>
          <w:r>
            <w:fldChar w:fldCharType="end"/>
          </w:r>
          <w:r>
            <w:fldChar w:fldCharType="end"/>
          </w:r>
        </w:p>
        <w:p w14:paraId="7E17F9A1">
          <w:pPr>
            <w:pStyle w:val="4"/>
            <w:spacing w:before="78" w:after="78"/>
            <w:rPr>
              <w:rFonts w:asciiTheme="minorHAnsi" w:hAnsiTheme="minorHAnsi" w:eastAsiaTheme="minorEastAsia" w:cstheme="minorBidi"/>
              <w:sz w:val="22"/>
              <w:szCs w:val="24"/>
            </w:rPr>
          </w:pPr>
          <w:r>
            <w:fldChar w:fldCharType="begin"/>
          </w:r>
          <w:r>
            <w:instrText xml:space="preserve"> HYPERLINK \l "_Toc205400314" </w:instrText>
          </w:r>
          <w:r>
            <w:fldChar w:fldCharType="separate"/>
          </w:r>
          <w:r>
            <w:rPr>
              <w:rStyle w:val="10"/>
            </w:rPr>
            <w:t>参考文献</w:t>
          </w:r>
          <w:r>
            <w:tab/>
          </w:r>
          <w:r>
            <w:fldChar w:fldCharType="begin"/>
          </w:r>
          <w:r>
            <w:instrText xml:space="preserve"> PAGEREF _Toc205400314 \h </w:instrText>
          </w:r>
          <w:r>
            <w:fldChar w:fldCharType="separate"/>
          </w:r>
          <w:r>
            <w:t>10</w:t>
          </w:r>
          <w:r>
            <w:fldChar w:fldCharType="end"/>
          </w:r>
          <w:r>
            <w:fldChar w:fldCharType="end"/>
          </w:r>
        </w:p>
        <w:p w14:paraId="548F4B3E">
          <w:pPr>
            <w:spacing w:before="78" w:beforeLines="25" w:after="78" w:afterLines="25"/>
          </w:pPr>
          <w:r>
            <w:rPr>
              <w:b/>
              <w:bCs/>
              <w:lang w:val="zh-CN"/>
            </w:rPr>
            <w:fldChar w:fldCharType="end"/>
          </w:r>
        </w:p>
      </w:sdtContent>
    </w:sdt>
    <w:p w14:paraId="314B5815">
      <w:pPr>
        <w:pStyle w:val="27"/>
        <w:ind w:left="0" w:leftChars="0" w:firstLine="0" w:firstLineChars="0"/>
      </w:pPr>
    </w:p>
    <w:p w14:paraId="684E9C54">
      <w:pPr>
        <w:pStyle w:val="30"/>
      </w:pPr>
      <w:bookmarkStart w:id="20" w:name="_Toc17878125"/>
      <w:r>
        <w:tab/>
      </w:r>
      <w:bookmarkStart w:id="21" w:name="_Toc205400278"/>
      <w:r>
        <w:rPr>
          <w:rFonts w:hint="eastAsia"/>
        </w:rPr>
        <w:t>前</w:t>
      </w:r>
      <w:bookmarkStart w:id="22" w:name="BKQY"/>
      <w:r>
        <w:rPr>
          <w:rFonts w:hAnsi="黑体"/>
        </w:rPr>
        <w:t>  </w:t>
      </w:r>
      <w:r>
        <w:rPr>
          <w:rFonts w:hint="eastAsia"/>
        </w:rPr>
        <w:t>言</w:t>
      </w:r>
      <w:bookmarkEnd w:id="20"/>
      <w:bookmarkEnd w:id="21"/>
      <w:bookmarkEnd w:id="22"/>
    </w:p>
    <w:p w14:paraId="24491990">
      <w:pPr>
        <w:pStyle w:val="27"/>
      </w:pPr>
      <w:r>
        <w:rPr>
          <w:rFonts w:hint="eastAsia"/>
        </w:rPr>
        <w:t>本</w:t>
      </w:r>
      <w:r>
        <w:t>文件按照</w:t>
      </w:r>
      <w:r>
        <w:rPr>
          <w:rFonts w:hint="eastAsia"/>
        </w:rPr>
        <w:t>GB/T 1.1—2020《标准化</w:t>
      </w:r>
      <w:r>
        <w:t>工作导则</w:t>
      </w:r>
      <w:r>
        <w:rPr>
          <w:rFonts w:hint="eastAsia"/>
        </w:rPr>
        <w:t xml:space="preserve"> 第1部分</w:t>
      </w:r>
      <w:r>
        <w:t>：标准化文件的结构和起草规则</w:t>
      </w:r>
      <w:r>
        <w:rPr>
          <w:rFonts w:hint="eastAsia"/>
        </w:rPr>
        <w:t>》的</w:t>
      </w:r>
      <w:r>
        <w:t>规定起草。</w:t>
      </w:r>
    </w:p>
    <w:p w14:paraId="5595F64D">
      <w:pPr>
        <w:pStyle w:val="27"/>
      </w:pPr>
      <w:r>
        <w:rPr>
          <w:rFonts w:hint="eastAsia"/>
        </w:rPr>
        <w:t>本文件由北京市科委、中关村管委会</w:t>
      </w:r>
      <w:r>
        <w:rPr>
          <w:rFonts w:hint="eastAsia"/>
          <w:lang w:val="en-US" w:eastAsia="zh-CN"/>
        </w:rPr>
        <w:t>提出并</w:t>
      </w:r>
      <w:r>
        <w:rPr>
          <w:rFonts w:hint="eastAsia"/>
        </w:rPr>
        <w:t>归口。</w:t>
      </w:r>
    </w:p>
    <w:p w14:paraId="03A76080">
      <w:pPr>
        <w:pStyle w:val="27"/>
      </w:pPr>
      <w:r>
        <w:rPr>
          <w:rFonts w:hint="eastAsia"/>
        </w:rPr>
        <w:t>本文件</w:t>
      </w:r>
      <w:r>
        <w:t>由</w:t>
      </w:r>
      <w:r>
        <w:rPr>
          <w:rFonts w:hint="eastAsia"/>
        </w:rPr>
        <w:t>北京市科委、中关村管委会组织</w:t>
      </w:r>
      <w:r>
        <w:t>实施。</w:t>
      </w:r>
    </w:p>
    <w:p w14:paraId="332360A3">
      <w:pPr>
        <w:pStyle w:val="27"/>
      </w:pPr>
      <w:r>
        <w:rPr>
          <w:rFonts w:hint="eastAsia"/>
        </w:rPr>
        <w:t>本</w:t>
      </w:r>
      <w:r>
        <w:t>文件起草单位：</w:t>
      </w:r>
    </w:p>
    <w:p w14:paraId="7DAA21F2">
      <w:pPr>
        <w:pStyle w:val="27"/>
      </w:pPr>
      <w:r>
        <w:rPr>
          <w:rFonts w:hint="eastAsia"/>
        </w:rPr>
        <w:t>本</w:t>
      </w:r>
      <w:r>
        <w:t>文件主要起草人：</w:t>
      </w:r>
    </w:p>
    <w:p w14:paraId="260E57BA">
      <w:pPr>
        <w:pStyle w:val="27"/>
        <w:rPr>
          <w:color w:val="FF0000"/>
        </w:rPr>
        <w:sectPr>
          <w:headerReference r:id="rId5" w:type="default"/>
          <w:footerReference r:id="rId7" w:type="default"/>
          <w:headerReference r:id="rId6" w:type="even"/>
          <w:footerReference r:id="rId8" w:type="even"/>
          <w:pgSz w:w="11906" w:h="16838"/>
          <w:pgMar w:top="1440" w:right="1440" w:bottom="1440" w:left="1440" w:header="1418" w:footer="1134" w:gutter="0"/>
          <w:pgNumType w:fmt="upperRoman" w:start="1"/>
          <w:cols w:space="425" w:num="1"/>
          <w:formProt w:val="0"/>
          <w:docGrid w:type="lines" w:linePitch="312" w:charSpace="0"/>
        </w:sectPr>
      </w:pPr>
    </w:p>
    <w:p w14:paraId="68AA271D">
      <w:pPr>
        <w:pStyle w:val="30"/>
      </w:pPr>
      <w:bookmarkStart w:id="23" w:name="StandardName"/>
      <w:bookmarkEnd w:id="23"/>
      <w:bookmarkStart w:id="24" w:name="_Toc17878126"/>
      <w:bookmarkEnd w:id="24"/>
      <w:bookmarkStart w:id="25" w:name="_Toc205400280"/>
      <w:r>
        <w:rPr>
          <w:rFonts w:hint="eastAsia"/>
        </w:rPr>
        <w:t>家庭环境通用人工智能测试规范</w:t>
      </w:r>
      <w:bookmarkEnd w:id="25"/>
      <w:r>
        <w:rPr>
          <w:rFonts w:hint="eastAsia"/>
        </w:rPr>
        <w:t xml:space="preserve"> 视觉心智能力</w:t>
      </w:r>
    </w:p>
    <w:p w14:paraId="30B46C4B">
      <w:pPr>
        <w:pStyle w:val="31"/>
        <w:spacing w:before="312" w:after="312"/>
      </w:pPr>
      <w:bookmarkStart w:id="26" w:name="_Toc205400281"/>
      <w:bookmarkStart w:id="27" w:name="_Toc17878127"/>
      <w:r>
        <w:rPr>
          <w:rFonts w:hint="eastAsia"/>
        </w:rPr>
        <w:t>范围</w:t>
      </w:r>
      <w:bookmarkEnd w:id="26"/>
      <w:bookmarkEnd w:id="27"/>
    </w:p>
    <w:p w14:paraId="3E18833C">
      <w:pPr>
        <w:pStyle w:val="27"/>
      </w:pPr>
      <w:r>
        <w:rPr>
          <w:rFonts w:hint="eastAsia"/>
        </w:rPr>
        <w:t>本文件规定了适用家庭环境的通用人工智能视觉心智能力的测试规范，描述了测试方法等内容。</w:t>
      </w:r>
    </w:p>
    <w:p w14:paraId="09B5951B">
      <w:pPr>
        <w:pStyle w:val="27"/>
      </w:pPr>
      <w:r>
        <w:rPr>
          <w:rFonts w:hint="eastAsia"/>
        </w:rPr>
        <w:t>本文件适用于指导通用人工智能系统开发方、用户方以及第三方等相关组织对家庭环境中通用人工智能系统的视觉心智能力开展测试工作。</w:t>
      </w:r>
    </w:p>
    <w:p w14:paraId="1C9DC97D">
      <w:pPr>
        <w:pStyle w:val="31"/>
        <w:spacing w:before="312" w:after="312"/>
      </w:pPr>
      <w:bookmarkStart w:id="28" w:name="_Toc205400282"/>
      <w:bookmarkStart w:id="29" w:name="_Toc17878128"/>
      <w:r>
        <w:rPr>
          <w:rFonts w:hint="eastAsia"/>
        </w:rPr>
        <w:t>规范性引用文件</w:t>
      </w:r>
      <w:bookmarkEnd w:id="28"/>
      <w:bookmarkEnd w:id="29"/>
    </w:p>
    <w:p w14:paraId="3BE8BCDE">
      <w:pPr>
        <w:pStyle w:val="27"/>
      </w:pPr>
      <w:r>
        <w:rPr>
          <w:rFonts w:hint="eastAsia"/>
        </w:rPr>
        <w:t>下列</w:t>
      </w:r>
      <w:r>
        <w:t>文件中的内容通过文中的规范性引用而构成本文件必不可少的条款。其中</w:t>
      </w:r>
      <w:r>
        <w:rPr>
          <w:rFonts w:hint="eastAsia"/>
        </w:rPr>
        <w:t>，</w:t>
      </w:r>
      <w:r>
        <w:t>注日期的引用文件，仅该日期对应的版本适用于本文件；不注日期的引用文件，</w:t>
      </w:r>
      <w:r>
        <w:rPr>
          <w:rFonts w:hint="eastAsia"/>
        </w:rPr>
        <w:t>其</w:t>
      </w:r>
      <w:r>
        <w:t>最新版本（</w:t>
      </w:r>
      <w:r>
        <w:rPr>
          <w:rFonts w:hint="eastAsia"/>
        </w:rPr>
        <w:t>包括</w:t>
      </w:r>
      <w:r>
        <w:t>所有的修改</w:t>
      </w:r>
      <w:r>
        <w:rPr>
          <w:rFonts w:hint="eastAsia"/>
        </w:rPr>
        <w:t>单</w:t>
      </w:r>
      <w:r>
        <w:t>）</w:t>
      </w:r>
      <w:r>
        <w:rPr>
          <w:rFonts w:hint="eastAsia"/>
        </w:rPr>
        <w:t>适用于</w:t>
      </w:r>
      <w:r>
        <w:t>本文件。</w:t>
      </w:r>
    </w:p>
    <w:p w14:paraId="73252C92">
      <w:pPr>
        <w:pStyle w:val="27"/>
      </w:pPr>
      <w:r>
        <w:rPr>
          <w:rFonts w:hint="eastAsia"/>
        </w:rPr>
        <w:t>GB/T 20000.1—2014</w:t>
      </w:r>
      <w:r>
        <w:rPr>
          <w:rFonts w:hint="eastAsia"/>
        </w:rPr>
        <w:tab/>
      </w:r>
      <w:r>
        <w:rPr>
          <w:rFonts w:hint="eastAsia"/>
        </w:rPr>
        <w:t>标准化工作指南 第1部分：标准化和相关活动的通用术语</w:t>
      </w:r>
    </w:p>
    <w:p w14:paraId="3547160D">
      <w:pPr>
        <w:pStyle w:val="27"/>
      </w:pPr>
      <w:r>
        <w:rPr>
          <w:rFonts w:hint="eastAsia"/>
        </w:rPr>
        <w:t>GB/T 41867—2022  信息技术 人工智能 术语</w:t>
      </w:r>
    </w:p>
    <w:p w14:paraId="317B6239">
      <w:pPr>
        <w:pStyle w:val="31"/>
        <w:spacing w:before="312" w:after="312"/>
      </w:pPr>
      <w:bookmarkStart w:id="30" w:name="_Toc17878129"/>
      <w:bookmarkEnd w:id="30"/>
      <w:bookmarkStart w:id="31" w:name="_Toc205400283"/>
      <w:r>
        <w:rPr>
          <w:rFonts w:hint="eastAsia"/>
        </w:rPr>
        <w:t>术语</w:t>
      </w:r>
      <w:r>
        <w:t>和定义</w:t>
      </w:r>
      <w:bookmarkEnd w:id="31"/>
    </w:p>
    <w:p w14:paraId="0C312706">
      <w:pPr>
        <w:pStyle w:val="27"/>
      </w:pPr>
      <w:r>
        <w:rPr>
          <w:rFonts w:hint="eastAsia"/>
        </w:rPr>
        <w:t>GB/T 41867-2022界定的以及下列术语和定义适用于本文件</w:t>
      </w:r>
      <w:r>
        <w:t>。</w:t>
      </w:r>
    </w:p>
    <w:p w14:paraId="5E1DE8CD">
      <w:pPr>
        <w:pStyle w:val="31"/>
        <w:numPr>
          <w:ilvl w:val="0"/>
          <w:numId w:val="0"/>
        </w:numPr>
        <w:spacing w:before="156" w:beforeLines="50" w:after="156" w:afterLines="50"/>
      </w:pPr>
      <w:bookmarkStart w:id="32" w:name="_Toc205400284"/>
      <w:r>
        <w:rPr>
          <w:rFonts w:hint="eastAsia"/>
        </w:rPr>
        <w:t>3.1</w:t>
      </w:r>
      <w:bookmarkEnd w:id="32"/>
    </w:p>
    <w:p w14:paraId="0EADCAB9">
      <w:pPr>
        <w:pStyle w:val="27"/>
        <w:rPr>
          <w:rFonts w:ascii="黑体" w:hAnsi="黑体" w:eastAsia="黑体"/>
        </w:rPr>
      </w:pPr>
      <w:r>
        <w:rPr>
          <w:rFonts w:hint="eastAsia" w:ascii="黑体" w:hAnsi="黑体" w:eastAsia="黑体"/>
        </w:rPr>
        <w:t>通用人工智能 artificial general intelligence, AGI</w:t>
      </w:r>
    </w:p>
    <w:p w14:paraId="77F0BA8F">
      <w:pPr>
        <w:pStyle w:val="27"/>
      </w:pPr>
      <w:r>
        <w:rPr>
          <w:rFonts w:hint="eastAsia"/>
        </w:rPr>
        <w:t>具有高效的学习和泛化能力、能够根据所处的复杂动态环境自主产生并完成非事先定义的任务、具备人类价值体系的人工智能。</w:t>
      </w:r>
    </w:p>
    <w:p w14:paraId="4D3BC17E">
      <w:pPr>
        <w:pStyle w:val="31"/>
        <w:numPr>
          <w:ilvl w:val="0"/>
          <w:numId w:val="0"/>
        </w:numPr>
        <w:spacing w:before="156" w:beforeLines="50" w:after="156" w:afterLines="50"/>
      </w:pPr>
      <w:bookmarkStart w:id="33" w:name="_Toc205400285"/>
      <w:r>
        <w:rPr>
          <w:rFonts w:hint="eastAsia"/>
        </w:rPr>
        <w:t>3.</w:t>
      </w:r>
      <w:r>
        <w:t>2</w:t>
      </w:r>
      <w:bookmarkEnd w:id="33"/>
    </w:p>
    <w:p w14:paraId="5AC40033">
      <w:pPr>
        <w:pStyle w:val="27"/>
        <w:rPr>
          <w:rFonts w:ascii="黑体" w:hAnsi="黑体" w:eastAsia="黑体"/>
        </w:rPr>
      </w:pPr>
      <w:r>
        <w:rPr>
          <w:rFonts w:hint="eastAsia" w:ascii="黑体" w:hAnsi="黑体" w:eastAsia="黑体"/>
        </w:rPr>
        <w:t xml:space="preserve">家庭环境 </w:t>
      </w:r>
      <w:r>
        <w:rPr>
          <w:rFonts w:ascii="黑体" w:hAnsi="黑体" w:eastAsia="黑体"/>
        </w:rPr>
        <w:t>home environment</w:t>
      </w:r>
    </w:p>
    <w:p w14:paraId="603581EC">
      <w:pPr>
        <w:pStyle w:val="27"/>
      </w:pPr>
      <w:r>
        <w:rPr>
          <w:rFonts w:hint="eastAsia"/>
        </w:rPr>
        <w:t>由人类居住空间及其附属设施构成的典型室内场景集合，包含但不限于起居室、卧室、厨房、卫生间等功能区域，涵盖家具、家电、日用品等家居物品，以及家庭成员、宠物等动态要素的有机整体。其空间布局与物体分布需符合现实居住场景的物理逻辑与社会习俗。</w:t>
      </w:r>
    </w:p>
    <w:p w14:paraId="20EDCF47">
      <w:pPr>
        <w:pStyle w:val="27"/>
      </w:pPr>
      <w:r>
        <w:rPr>
          <w:rFonts w:hint="eastAsia" w:ascii="黑体" w:hAnsi="黑体" w:eastAsia="黑体"/>
        </w:rPr>
        <w:t>注</w:t>
      </w:r>
      <w:r>
        <w:rPr>
          <w:rFonts w:hint="eastAsia"/>
        </w:rPr>
        <w:t>：区别于实验室环境或工业场景，强调非结构化、动态变化的真实生活场景特性。</w:t>
      </w:r>
    </w:p>
    <w:p w14:paraId="080F9885">
      <w:pPr>
        <w:pStyle w:val="31"/>
        <w:numPr>
          <w:ilvl w:val="0"/>
          <w:numId w:val="0"/>
        </w:numPr>
        <w:spacing w:before="156" w:beforeLines="50" w:after="156" w:afterLines="50"/>
      </w:pPr>
      <w:bookmarkStart w:id="34" w:name="_Toc205400286"/>
      <w:r>
        <w:rPr>
          <w:rFonts w:hint="eastAsia"/>
        </w:rPr>
        <w:t>3.3</w:t>
      </w:r>
      <w:bookmarkEnd w:id="34"/>
    </w:p>
    <w:p w14:paraId="547897C8">
      <w:pPr>
        <w:pStyle w:val="27"/>
        <w:rPr>
          <w:rFonts w:ascii="黑体" w:hAnsi="黑体" w:eastAsia="黑体"/>
        </w:rPr>
      </w:pPr>
      <w:r>
        <w:rPr>
          <w:rFonts w:hint="eastAsia" w:ascii="黑体" w:hAnsi="黑体" w:eastAsia="黑体"/>
        </w:rPr>
        <w:t xml:space="preserve">视觉心智能力 </w:t>
      </w:r>
      <w:r>
        <w:rPr>
          <w:rFonts w:ascii="黑体" w:hAnsi="黑体" w:eastAsia="黑体"/>
        </w:rPr>
        <w:t>visual understanding ability</w:t>
      </w:r>
    </w:p>
    <w:p w14:paraId="4BD729D2">
      <w:pPr>
        <w:pStyle w:val="27"/>
        <w:rPr>
          <w:color w:val="FF0000"/>
        </w:rPr>
      </w:pPr>
      <w:r>
        <w:t>智能系统通过获取家庭环境视觉数据，基于视觉信息</w:t>
      </w:r>
      <w:r>
        <w:rPr>
          <w:rFonts w:hint="eastAsia"/>
        </w:rPr>
        <w:t>，</w:t>
      </w:r>
      <w:r>
        <w:t>实现</w:t>
      </w:r>
      <w:r>
        <w:rPr>
          <w:rFonts w:hint="eastAsia"/>
        </w:rPr>
        <w:t>对于</w:t>
      </w:r>
      <w:r>
        <w:t>物体、场景、事件</w:t>
      </w:r>
      <w:r>
        <w:rPr>
          <w:rFonts w:hint="eastAsia"/>
        </w:rPr>
        <w:t>和</w:t>
      </w:r>
      <w:r>
        <w:t>意图</w:t>
      </w:r>
      <w:r>
        <w:rPr>
          <w:rFonts w:hint="eastAsia"/>
        </w:rPr>
        <w:t>的加工和理解</w:t>
      </w:r>
      <w:r>
        <w:t>，支持视觉任务的定义和完成</w:t>
      </w:r>
      <w:r>
        <w:rPr>
          <w:rFonts w:hint="eastAsia"/>
        </w:rPr>
        <w:t>。</w:t>
      </w:r>
      <w:bookmarkStart w:id="67" w:name="_GoBack"/>
      <w:bookmarkEnd w:id="67"/>
    </w:p>
    <w:p w14:paraId="206F04C4">
      <w:pPr>
        <w:pStyle w:val="31"/>
        <w:numPr>
          <w:ilvl w:val="0"/>
          <w:numId w:val="0"/>
        </w:numPr>
        <w:spacing w:before="156" w:beforeLines="50" w:after="156" w:afterLines="50"/>
      </w:pPr>
      <w:bookmarkStart w:id="35" w:name="_Toc205400287"/>
      <w:r>
        <w:rPr>
          <w:rFonts w:hint="eastAsia"/>
        </w:rPr>
        <w:t>3.4</w:t>
      </w:r>
      <w:bookmarkEnd w:id="35"/>
    </w:p>
    <w:p w14:paraId="63DA50CC">
      <w:pPr>
        <w:pStyle w:val="27"/>
        <w:rPr>
          <w:rFonts w:ascii="黑体" w:hAnsi="黑体" w:eastAsia="黑体"/>
        </w:rPr>
      </w:pPr>
      <w:r>
        <w:rPr>
          <w:rFonts w:hint="eastAsia" w:ascii="黑体" w:hAnsi="黑体" w:eastAsia="黑体"/>
        </w:rPr>
        <w:t xml:space="preserve">任务 </w:t>
      </w:r>
      <w:r>
        <w:rPr>
          <w:rFonts w:ascii="黑体" w:hAnsi="黑体" w:eastAsia="黑体"/>
        </w:rPr>
        <w:t>task</w:t>
      </w:r>
    </w:p>
    <w:p w14:paraId="3015EB0E">
      <w:pPr>
        <w:pStyle w:val="27"/>
      </w:pPr>
      <w:r>
        <w:t xml:space="preserve">被调度的训练或推理对象。 </w:t>
      </w:r>
    </w:p>
    <w:p w14:paraId="21C82D5E">
      <w:pPr>
        <w:pStyle w:val="27"/>
      </w:pPr>
      <w:r>
        <w:rPr>
          <w:rFonts w:ascii="黑体" w:hAnsi="黑体" w:eastAsia="黑体"/>
        </w:rPr>
        <w:t>注:</w:t>
      </w:r>
      <w:r>
        <w:rPr>
          <w:rFonts w:hint="eastAsia"/>
        </w:rPr>
        <w:t>任务用于完成一个相对独立的业务功能</w:t>
      </w:r>
      <w:r>
        <w:t>。</w:t>
      </w:r>
      <w:r>
        <w:rPr>
          <w:rFonts w:hint="eastAsia"/>
        </w:rPr>
        <w:t>一个任务属于且仅属于一个作业</w:t>
      </w:r>
      <w:r>
        <w:t xml:space="preserve">。 </w:t>
      </w:r>
    </w:p>
    <w:p w14:paraId="089E40E8">
      <w:pPr>
        <w:pStyle w:val="27"/>
      </w:pPr>
      <w:r>
        <w:t>[</w:t>
      </w:r>
      <w:r>
        <w:rPr>
          <w:rFonts w:hint="eastAsia"/>
        </w:rPr>
        <w:t>来源</w:t>
      </w:r>
      <w:r>
        <w:t>:GB/T25000.23—2019，4.12，</w:t>
      </w:r>
      <w:r>
        <w:rPr>
          <w:rFonts w:hint="eastAsia"/>
        </w:rPr>
        <w:t>有修改</w:t>
      </w:r>
      <w:r>
        <w:t>]</w:t>
      </w:r>
    </w:p>
    <w:p w14:paraId="6644878A">
      <w:pPr>
        <w:pStyle w:val="31"/>
        <w:numPr>
          <w:ilvl w:val="0"/>
          <w:numId w:val="0"/>
        </w:numPr>
        <w:spacing w:before="156" w:beforeLines="50" w:after="156" w:afterLines="50"/>
      </w:pPr>
      <w:bookmarkStart w:id="36" w:name="_Toc205400288"/>
      <w:r>
        <w:rPr>
          <w:rFonts w:hint="eastAsia"/>
        </w:rPr>
        <w:t>3.5</w:t>
      </w:r>
      <w:bookmarkEnd w:id="36"/>
    </w:p>
    <w:p w14:paraId="66176628">
      <w:pPr>
        <w:pStyle w:val="27"/>
        <w:rPr>
          <w:rFonts w:ascii="黑体" w:hAnsi="黑体" w:eastAsia="黑体"/>
        </w:rPr>
      </w:pPr>
      <w:r>
        <w:rPr>
          <w:rFonts w:hint="eastAsia" w:ascii="黑体" w:hAnsi="黑体" w:eastAsia="黑体"/>
        </w:rPr>
        <w:t xml:space="preserve">模态 </w:t>
      </w:r>
      <w:r>
        <w:rPr>
          <w:rFonts w:ascii="黑体" w:hAnsi="黑体" w:eastAsia="黑体"/>
        </w:rPr>
        <w:t>modality</w:t>
      </w:r>
    </w:p>
    <w:p w14:paraId="38B92764">
      <w:pPr>
        <w:pStyle w:val="27"/>
        <w:rPr>
          <w:color w:val="FF0000"/>
        </w:rPr>
      </w:pPr>
      <w:r>
        <w:rPr>
          <w:rFonts w:hint="eastAsia"/>
        </w:rPr>
        <w:t>信息呈现的类型，包含图像、视频、文本和声音等。</w:t>
      </w:r>
    </w:p>
    <w:p w14:paraId="6F814A59">
      <w:pPr>
        <w:pStyle w:val="31"/>
        <w:spacing w:before="312" w:after="312"/>
      </w:pPr>
      <w:bookmarkStart w:id="37" w:name="_Toc205400289"/>
      <w:r>
        <w:rPr>
          <w:rFonts w:hint="eastAsia"/>
        </w:rPr>
        <w:t>测试指标体系</w:t>
      </w:r>
      <w:bookmarkEnd w:id="37"/>
    </w:p>
    <w:p w14:paraId="6C57949E">
      <w:pPr>
        <w:pStyle w:val="31"/>
        <w:numPr>
          <w:ilvl w:val="0"/>
          <w:numId w:val="0"/>
        </w:numPr>
        <w:spacing w:before="156" w:beforeLines="50" w:after="156" w:afterLines="50"/>
      </w:pPr>
      <w:bookmarkStart w:id="38" w:name="_Toc205400290"/>
      <w:r>
        <w:rPr>
          <w:rFonts w:hint="eastAsia"/>
        </w:rPr>
        <w:t>4.1　测试指标概述</w:t>
      </w:r>
      <w:bookmarkEnd w:id="38"/>
    </w:p>
    <w:p w14:paraId="0EF7F5D1">
      <w:pPr>
        <w:pStyle w:val="32"/>
        <w:ind w:firstLine="420"/>
        <w:rPr>
          <w:rFonts w:ascii="Times New Roman Regular" w:hAnsi="Times New Roman Regular" w:cs="Times New Roman Regular"/>
          <w:color w:val="000000" w:themeColor="text1"/>
          <w14:textFill>
            <w14:solidFill>
              <w14:schemeClr w14:val="tx1"/>
            </w14:solidFill>
          </w14:textFill>
        </w:rPr>
      </w:pPr>
      <w:r>
        <w:rPr>
          <w:rFonts w:ascii="Times New Roman Regular" w:hAnsi="Times New Roman Regular" w:cs="Times New Roman Regular"/>
          <w:color w:val="000000"/>
        </w:rPr>
        <w:t>家庭环境通用人工智能视觉</w:t>
      </w:r>
      <w:r>
        <w:rPr>
          <w:rFonts w:hint="eastAsia"/>
        </w:rPr>
        <w:t>心智</w:t>
      </w:r>
      <w:r>
        <w:rPr>
          <w:rFonts w:ascii="Times New Roman Regular" w:hAnsi="Times New Roman Regular" w:cs="Times New Roman Regular"/>
          <w:color w:val="000000"/>
        </w:rPr>
        <w:t>能力测试指标体系包括</w:t>
      </w:r>
      <w:r>
        <w:rPr>
          <w:rFonts w:hint="eastAsia" w:ascii="Times New Roman Regular" w:hAnsi="Times New Roman Regular" w:cs="Times New Roman Regular"/>
          <w:color w:val="000000" w:themeColor="text1"/>
          <w14:textFill>
            <w14:solidFill>
              <w14:schemeClr w14:val="tx1"/>
            </w14:solidFill>
          </w14:textFill>
        </w:rPr>
        <w:t>任务泛化能力指标</w:t>
      </w:r>
      <w:r>
        <w:rPr>
          <w:rFonts w:ascii="Times New Roman Regular" w:hAnsi="Times New Roman Regular" w:cs="Times New Roman Regular"/>
          <w:color w:val="000000" w:themeColor="text1"/>
          <w14:textFill>
            <w14:solidFill>
              <w14:schemeClr w14:val="tx1"/>
            </w14:solidFill>
          </w14:textFill>
        </w:rPr>
        <w:t>以及自主生成任务</w:t>
      </w:r>
      <w:r>
        <w:rPr>
          <w:rFonts w:hint="eastAsia" w:ascii="Times New Roman Regular" w:hAnsi="Times New Roman Regular" w:cs="Times New Roman Regular"/>
          <w:color w:val="000000" w:themeColor="text1"/>
          <w14:textFill>
            <w14:solidFill>
              <w14:schemeClr w14:val="tx1"/>
            </w14:solidFill>
          </w14:textFill>
        </w:rPr>
        <w:t>能力指标，</w:t>
      </w:r>
      <w:r>
        <w:rPr>
          <w:rFonts w:ascii="Times New Roman Regular" w:hAnsi="Times New Roman Regular" w:cs="Times New Roman Regular"/>
          <w:color w:val="000000" w:themeColor="text1"/>
          <w14:textFill>
            <w14:solidFill>
              <w14:schemeClr w14:val="tx1"/>
            </w14:solidFill>
          </w14:textFill>
        </w:rPr>
        <w:t>每个指标由子指标组成，见图1。在实施评估过程中</w:t>
      </w:r>
      <w:r>
        <w:rPr>
          <w:rFonts w:hint="eastAsia" w:ascii="Times New Roman Regular" w:hAnsi="Times New Roman Regular" w:cs="Times New Roman Regular"/>
          <w:color w:val="000000" w:themeColor="text1"/>
          <w14:textFill>
            <w14:solidFill>
              <w14:schemeClr w14:val="tx1"/>
            </w14:solidFill>
          </w14:textFill>
        </w:rPr>
        <w:t>，</w:t>
      </w:r>
      <w:r>
        <w:rPr>
          <w:rFonts w:ascii="Times New Roman Regular" w:hAnsi="Times New Roman Regular" w:cs="Times New Roman Regular"/>
          <w:color w:val="000000" w:themeColor="text1"/>
          <w14:textFill>
            <w14:solidFill>
              <w14:schemeClr w14:val="tx1"/>
            </w14:solidFill>
          </w14:textFill>
        </w:rPr>
        <w:t xml:space="preserve"> 应根据不同类型的</w:t>
      </w:r>
      <w:r>
        <w:rPr>
          <w:rFonts w:hint="eastAsia" w:ascii="Times New Roman Regular" w:hAnsi="Times New Roman Regular" w:cs="Times New Roman Regular"/>
          <w:color w:val="000000" w:themeColor="text1"/>
          <w14:textFill>
            <w14:solidFill>
              <w14:schemeClr w14:val="tx1"/>
            </w14:solidFill>
          </w14:textFill>
        </w:rPr>
        <w:t>通用人工智能</w:t>
      </w:r>
      <w:r>
        <w:rPr>
          <w:rFonts w:ascii="Times New Roman Regular" w:hAnsi="Times New Roman Regular" w:cs="Times New Roman Regular"/>
          <w:color w:val="000000" w:themeColor="text1"/>
          <w14:textFill>
            <w14:solidFill>
              <w14:schemeClr w14:val="tx1"/>
            </w14:solidFill>
          </w14:textFill>
        </w:rPr>
        <w:t>算法</w:t>
      </w:r>
      <w:r>
        <w:rPr>
          <w:rFonts w:hint="eastAsia" w:ascii="Times New Roman Regular" w:hAnsi="Times New Roman Regular" w:cs="Times New Roman Regular"/>
          <w:color w:val="000000" w:themeColor="text1"/>
          <w14:textFill>
            <w14:solidFill>
              <w14:schemeClr w14:val="tx1"/>
            </w14:solidFill>
          </w14:textFill>
        </w:rPr>
        <w:t>，</w:t>
      </w:r>
      <w:r>
        <w:rPr>
          <w:rFonts w:ascii="Times New Roman Regular" w:hAnsi="Times New Roman Regular" w:cs="Times New Roman Regular"/>
          <w:color w:val="000000" w:themeColor="text1"/>
          <w14:textFill>
            <w14:solidFill>
              <w14:schemeClr w14:val="tx1"/>
            </w14:solidFill>
          </w14:textFill>
        </w:rPr>
        <w:t>在不同质量特性下设置具体评估指标。</w:t>
      </w:r>
    </w:p>
    <w:p w14:paraId="6ECDFF0C">
      <w:pPr>
        <w:pStyle w:val="32"/>
        <w:ind w:firstLine="0" w:firstLineChars="0"/>
        <w:rPr>
          <w:rFonts w:ascii="Times New Roman Regular" w:hAnsi="Times New Roman Regular" w:cs="Times New Roman Regular"/>
          <w:color w:val="000000" w:themeColor="text1"/>
          <w14:textFill>
            <w14:solidFill>
              <w14:schemeClr w14:val="tx1"/>
            </w14:solidFill>
          </w14:textFill>
        </w:rPr>
      </w:pPr>
    </w:p>
    <w:p w14:paraId="03777C1E">
      <w:pPr>
        <w:jc w:val="center"/>
      </w:pPr>
      <w:r>
        <w:drawing>
          <wp:inline distT="0" distB="0" distL="0" distR="0">
            <wp:extent cx="1948180" cy="151320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957252" cy="1520530"/>
                    </a:xfrm>
                    <a:prstGeom prst="rect">
                      <a:avLst/>
                    </a:prstGeom>
                    <a:noFill/>
                  </pic:spPr>
                </pic:pic>
              </a:graphicData>
            </a:graphic>
          </wp:inline>
        </w:drawing>
      </w:r>
    </w:p>
    <w:p w14:paraId="7B93900A">
      <w:pPr>
        <w:pStyle w:val="27"/>
        <w:jc w:val="center"/>
        <w:rPr>
          <w:rFonts w:ascii="黑体" w:hAnsi="黑体" w:eastAsia="黑体"/>
        </w:rPr>
      </w:pPr>
      <w:r>
        <w:rPr>
          <w:rFonts w:ascii="黑体" w:hAnsi="黑体" w:eastAsia="黑体"/>
        </w:rPr>
        <w:t>图1 家庭环境通用人工智能视觉</w:t>
      </w:r>
      <w:r>
        <w:rPr>
          <w:rFonts w:hint="eastAsia" w:ascii="黑体" w:hAnsi="黑体" w:eastAsia="黑体"/>
        </w:rPr>
        <w:t>心智</w:t>
      </w:r>
      <w:r>
        <w:rPr>
          <w:rFonts w:ascii="黑体" w:hAnsi="黑体" w:eastAsia="黑体"/>
        </w:rPr>
        <w:t>能力测试指标</w:t>
      </w:r>
    </w:p>
    <w:p w14:paraId="1FDAD4CB">
      <w:pPr>
        <w:pStyle w:val="27"/>
      </w:pPr>
    </w:p>
    <w:p w14:paraId="4AB54FB4">
      <w:pPr>
        <w:pStyle w:val="31"/>
        <w:numPr>
          <w:ilvl w:val="0"/>
          <w:numId w:val="0"/>
        </w:numPr>
        <w:spacing w:before="156" w:beforeLines="50" w:after="156" w:afterLines="50"/>
      </w:pPr>
      <w:bookmarkStart w:id="39" w:name="_Toc205400291"/>
      <w:r>
        <w:rPr>
          <w:rFonts w:hint="eastAsia"/>
        </w:rPr>
        <w:t>4.2　任务泛化能力</w:t>
      </w:r>
      <w:bookmarkEnd w:id="39"/>
    </w:p>
    <w:p w14:paraId="0C8CD825">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“任务泛化能力”指标用于评估AGI系统在家庭环境长时间运行中，对多任务类别的家庭环境视觉任务的泛化能力。</w:t>
      </w:r>
      <w:r>
        <w:rPr>
          <w:rFonts w:hint="eastAsia" w:hAnsi="宋体" w:cs="宋体"/>
        </w:rPr>
        <w:t>衡量AGI系统在多任务场景下正确完成任务的精度，包括对已知任务和未知任务的泛化能力。</w:t>
      </w:r>
      <w:r>
        <w:rPr>
          <w:rFonts w:hint="eastAsia" w:hAnsi="宋体" w:cs="宋体"/>
          <w:color w:val="000000" w:themeColor="text1"/>
          <w14:textFill>
            <w14:solidFill>
              <w14:schemeClr w14:val="tx1"/>
            </w14:solidFill>
          </w14:textFill>
        </w:rPr>
        <w:t>计算方法见公式（1）：</w:t>
      </w:r>
    </w:p>
    <w:p w14:paraId="216D920B">
      <w:pPr>
        <w:pStyle w:val="32"/>
        <w:ind w:firstLine="0" w:firstLineChars="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drawing>
          <wp:inline distT="0" distB="0" distL="114300" distR="114300">
            <wp:extent cx="4220845" cy="1205865"/>
            <wp:effectExtent l="0" t="0" r="0" b="0"/>
            <wp:docPr id="309944021" name="图片 309944021" descr="Screenshot 2025-08-01 at 19.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44021" name="图片 309944021" descr="Screenshot 2025-08-01 at 19.51.48"/>
                    <pic:cNvPicPr>
                      <a:picLocks noChangeAspect="1"/>
                    </pic:cNvPicPr>
                  </pic:nvPicPr>
                  <pic:blipFill>
                    <a:blip r:embed="rId13"/>
                    <a:srcRect t="-8" b="-2"/>
                    <a:stretch>
                      <a:fillRect/>
                    </a:stretch>
                  </pic:blipFill>
                  <pic:spPr>
                    <a:xfrm>
                      <a:off x="0" y="0"/>
                      <a:ext cx="4223385" cy="1206598"/>
                    </a:xfrm>
                    <a:prstGeom prst="rect">
                      <a:avLst/>
                    </a:prstGeom>
                    <a:ln>
                      <a:noFill/>
                    </a:ln>
                  </pic:spPr>
                </pic:pic>
              </a:graphicData>
            </a:graphic>
          </wp:inline>
        </w:drawing>
      </w:r>
    </w:p>
    <w:p w14:paraId="7C798B1B">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式中：</w:t>
      </w:r>
    </w:p>
    <w:p w14:paraId="583584C7">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T——任务泛化能力</w:t>
      </w:r>
    </w:p>
    <w:p w14:paraId="218EBAD1">
      <w:pPr>
        <w:pStyle w:val="32"/>
        <w:ind w:firstLine="420" w:firstLineChars="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f——各任务类别的准确率</w:t>
      </w:r>
    </w:p>
    <w:p w14:paraId="04C8C8E5">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M——测试任务类别总数量</w:t>
      </w:r>
    </w:p>
    <w:p w14:paraId="065E437D">
      <w:pPr>
        <w:pStyle w:val="32"/>
        <w:ind w:firstLine="420"/>
        <w:jc w:val="left"/>
        <w:rPr>
          <w:rFonts w:hAnsi="宋体" w:cs="宋体"/>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σ</m:t>
        </m:r>
      </m:oMath>
      <w:r>
        <w:rPr>
          <w:rFonts w:hint="eastAsia" w:hAnsi="宋体" w:cs="宋体"/>
          <w:color w:val="000000" w:themeColor="text1"/>
          <w14:textFill>
            <w14:solidFill>
              <w14:schemeClr w14:val="tx1"/>
            </w14:solidFill>
          </w14:textFill>
        </w:rPr>
        <w:t>——各任务类别准确率的标准差</w:t>
      </w:r>
    </w:p>
    <w:p w14:paraId="68B14B71">
      <w:pPr>
        <w:pStyle w:val="32"/>
        <w:ind w:firstLine="420"/>
        <w:jc w:val="left"/>
        <w:rPr>
          <w:rFonts w:hAnsi="宋体" w:cs="宋体"/>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μ</m:t>
        </m:r>
      </m:oMath>
      <w:r>
        <w:rPr>
          <w:rFonts w:hint="eastAsia" w:hAnsi="宋体" w:cs="宋体"/>
          <w:color w:val="000000" w:themeColor="text1"/>
          <w14:textFill>
            <w14:solidFill>
              <w14:schemeClr w14:val="tx1"/>
            </w14:solidFill>
          </w14:textFill>
        </w:rPr>
        <w:t>——各任务</w:t>
      </w:r>
      <w:bookmarkStart w:id="40" w:name="_Hlk204869026"/>
      <w:r>
        <w:rPr>
          <w:rFonts w:hint="eastAsia" w:hAnsi="宋体" w:cs="宋体"/>
          <w:color w:val="000000" w:themeColor="text1"/>
          <w14:textFill>
            <w14:solidFill>
              <w14:schemeClr w14:val="tx1"/>
            </w14:solidFill>
          </w14:textFill>
        </w:rPr>
        <w:t>类别</w:t>
      </w:r>
      <w:bookmarkEnd w:id="40"/>
      <w:r>
        <w:rPr>
          <w:rFonts w:hint="eastAsia" w:hAnsi="宋体" w:cs="宋体"/>
          <w:color w:val="000000" w:themeColor="text1"/>
          <w14:textFill>
            <w14:solidFill>
              <w14:schemeClr w14:val="tx1"/>
            </w14:solidFill>
          </w14:textFill>
        </w:rPr>
        <w:t>准确率的均值</w:t>
      </w:r>
    </w:p>
    <w:p w14:paraId="7263A473">
      <w:pPr>
        <w:pStyle w:val="32"/>
        <w:ind w:firstLine="420"/>
        <w:jc w:val="left"/>
        <w:rPr>
          <w:rFonts w:hAnsi="宋体" w:cs="宋体"/>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γ</m:t>
        </m:r>
      </m:oMath>
      <w:r>
        <w:rPr>
          <w:rFonts w:hint="eastAsia" w:hAnsi="宋体" w:cs="宋体"/>
          <w:color w:val="000000" w:themeColor="text1"/>
          <w14:textFill>
            <w14:solidFill>
              <w14:schemeClr w14:val="tx1"/>
            </w14:solidFill>
          </w14:textFill>
        </w:rPr>
        <w:t>——任务表现波动性惩罚强度</w:t>
      </w:r>
    </w:p>
    <w:p w14:paraId="03C2808F">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TP——正确完成的家庭任务数</w:t>
      </w:r>
    </w:p>
    <w:p w14:paraId="53AD8343">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TN——正确忽略的家庭任务数</w:t>
      </w:r>
    </w:p>
    <w:p w14:paraId="7424E5D2">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FP——错误完成的家庭任务数</w:t>
      </w:r>
    </w:p>
    <w:p w14:paraId="0F79B0A5">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FN——错误忽略的家庭任务数</w:t>
      </w:r>
    </w:p>
    <w:p w14:paraId="4266E28B">
      <w:pPr>
        <w:pStyle w:val="27"/>
      </w:pPr>
    </w:p>
    <w:p w14:paraId="6B7DD7C4">
      <w:pPr>
        <w:pStyle w:val="31"/>
        <w:numPr>
          <w:ilvl w:val="0"/>
          <w:numId w:val="0"/>
        </w:numPr>
        <w:spacing w:before="156" w:beforeLines="50" w:after="156" w:afterLines="50"/>
      </w:pPr>
      <w:bookmarkStart w:id="41" w:name="_Toc205400292"/>
      <w:r>
        <w:rPr>
          <w:rFonts w:hint="eastAsia"/>
        </w:rPr>
        <w:t>4.3　自主生成任务</w:t>
      </w:r>
      <w:bookmarkEnd w:id="41"/>
    </w:p>
    <w:p w14:paraId="51DB2007">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“自主生成任务”指标用于衡量AGI在无明确指令时，基于环境视觉输入自主发现、定义并执行合理任务的能力。对AGI自主生成任务的测试包括以下两种性质。</w:t>
      </w:r>
    </w:p>
    <w:p w14:paraId="316EC074">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a) </w:t>
      </w:r>
      <w:r>
        <w:rPr>
          <w:rFonts w:hint="eastAsia" w:hAnsi="宋体" w:cs="宋体"/>
          <w:b/>
          <w:bCs/>
          <w:color w:val="000000" w:themeColor="text1"/>
          <w14:textFill>
            <w14:solidFill>
              <w14:schemeClr w14:val="tx1"/>
            </w14:solidFill>
          </w14:textFill>
        </w:rPr>
        <w:t>相关性（Relevance）</w:t>
      </w:r>
      <w:r>
        <w:rPr>
          <w:rFonts w:hint="eastAsia" w:hAnsi="宋体" w:cs="宋体"/>
          <w:color w:val="000000" w:themeColor="text1"/>
          <w14:textFill>
            <w14:solidFill>
              <w14:schemeClr w14:val="tx1"/>
            </w14:solidFill>
          </w14:textFill>
        </w:rPr>
        <w:t>：测试</w:t>
      </w:r>
      <w:r>
        <w:rPr>
          <w:rFonts w:hint="eastAsia" w:hAnsi="宋体" w:cs="宋体"/>
        </w:rPr>
        <w:t>生成任务</w:t>
      </w:r>
      <w:r>
        <w:rPr>
          <w:rFonts w:hint="eastAsia" w:hAnsi="宋体" w:cs="宋体"/>
          <w:color w:val="000000" w:themeColor="text1"/>
          <w14:textFill>
            <w14:solidFill>
              <w14:schemeClr w14:val="tx1"/>
            </w14:solidFill>
          </w14:textFill>
        </w:rPr>
        <w:t>与家庭场景实际</w:t>
      </w:r>
      <w:r>
        <w:rPr>
          <w:rFonts w:hint="eastAsia" w:hAnsi="宋体" w:cs="宋体"/>
        </w:rPr>
        <w:t>需求的关联程度，避免无关或无效任务。</w:t>
      </w:r>
      <w:r>
        <w:rPr>
          <w:rFonts w:hint="eastAsia" w:hAnsi="宋体" w:cs="宋体"/>
          <w:color w:val="000000" w:themeColor="text1"/>
          <w14:textFill>
            <w14:solidFill>
              <w14:schemeClr w14:val="tx1"/>
            </w14:solidFill>
          </w14:textFill>
        </w:rPr>
        <w:t>计算方法见公式（2）：</w:t>
      </w:r>
    </w:p>
    <w:p w14:paraId="7055D2BD">
      <w:pPr>
        <w:pStyle w:val="32"/>
        <w:ind w:firstLine="42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drawing>
          <wp:inline distT="0" distB="0" distL="114300" distR="114300">
            <wp:extent cx="3533140" cy="956945"/>
            <wp:effectExtent l="0" t="0" r="22860" b="8255"/>
            <wp:docPr id="12" name="图片 12" descr="Screenshot 2025-08-01 at 19.5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Screenshot 2025-08-01 at 19.52.54"/>
                    <pic:cNvPicPr>
                      <a:picLocks noChangeAspect="1"/>
                    </pic:cNvPicPr>
                  </pic:nvPicPr>
                  <pic:blipFill>
                    <a:blip r:embed="rId14"/>
                    <a:stretch>
                      <a:fillRect/>
                    </a:stretch>
                  </pic:blipFill>
                  <pic:spPr>
                    <a:xfrm>
                      <a:off x="0" y="0"/>
                      <a:ext cx="3533140" cy="956945"/>
                    </a:xfrm>
                    <a:prstGeom prst="rect">
                      <a:avLst/>
                    </a:prstGeom>
                  </pic:spPr>
                </pic:pic>
              </a:graphicData>
            </a:graphic>
          </wp:inline>
        </w:drawing>
      </w:r>
    </w:p>
    <w:p w14:paraId="29E6D30A">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式中：</w:t>
      </w:r>
    </w:p>
    <w:p w14:paraId="3C2B5DFC">
      <w:pPr>
        <w:pStyle w:val="32"/>
        <w:ind w:firstLine="420"/>
        <w:jc w:val="left"/>
        <w:rPr>
          <w:rFonts w:hAnsi="宋体" w:cs="宋体"/>
          <w:iCs/>
          <w:color w:val="000000" w:themeColor="text1"/>
          <w14:textFill>
            <w14:solidFill>
              <w14:schemeClr w14:val="tx1"/>
            </w14:solidFill>
          </w14:textFill>
        </w:rPr>
      </w:pPr>
      <m:oMath>
        <m:r>
          <m:rPr>
            <m:sty m:val="p"/>
          </m:rPr>
          <w:rPr>
            <w:rFonts w:ascii="DejaVu Math TeX Gyre" w:hAnsi="DejaVu Math TeX Gyre" w:cs="宋体"/>
          </w:rPr>
          <m:t>R</m:t>
        </m:r>
      </m:oMath>
      <w:r>
        <w:rPr>
          <w:rFonts w:hint="eastAsia" w:hAnsi="宋体" w:cs="宋体"/>
          <w:iCs/>
        </w:rPr>
        <w:t xml:space="preserve"> </w:t>
      </w:r>
      <w:r>
        <w:rPr>
          <w:rFonts w:hint="eastAsia" w:hAnsi="宋体" w:cs="宋体"/>
          <w:iCs/>
          <w:color w:val="000000" w:themeColor="text1"/>
          <w14:textFill>
            <w14:solidFill>
              <w14:schemeClr w14:val="tx1"/>
            </w14:solidFill>
          </w14:textFill>
        </w:rPr>
        <w:t>—— 总任务集相关性</w:t>
      </w:r>
    </w:p>
    <w:p w14:paraId="6A6CA79C">
      <w:pPr>
        <w:pStyle w:val="32"/>
        <w:ind w:firstLine="420"/>
        <w:jc w:val="left"/>
        <w:rPr>
          <w:rFonts w:hAnsi="宋体" w:cs="宋体"/>
          <w:iCs/>
          <w:color w:val="000000" w:themeColor="text1"/>
          <w14:textFill>
            <w14:solidFill>
              <w14:schemeClr w14:val="tx1"/>
            </w14:solidFill>
          </w14:textFill>
        </w:rPr>
      </w:pPr>
      <m:oMath>
        <m:r>
          <m:rPr>
            <m:nor/>
            <m:sty m:val="p"/>
          </m:rPr>
          <w:rPr>
            <w:rFonts w:hint="eastAsia" w:ascii="DejaVu Math TeX Gyre" w:hAnsi="DejaVu Math TeX Gyre" w:cs="宋体"/>
            <w:b w:val="0"/>
            <w:i w:val="0"/>
            <w:iCs/>
            <w:color w:val="000000" w:themeColor="text1"/>
            <w14:textFill>
              <w14:solidFill>
                <w14:schemeClr w14:val="tx1"/>
              </w14:solidFill>
            </w14:textFill>
          </w:rPr>
          <m:t>r</m:t>
        </m:r>
      </m:oMath>
      <w:r>
        <w:rPr>
          <w:rFonts w:hint="eastAsia" w:hAnsi="宋体" w:cs="宋体"/>
          <w:iCs/>
          <w:color w:val="000000" w:themeColor="text1"/>
          <w14:textFill>
            <w14:solidFill>
              <w14:schemeClr w14:val="tx1"/>
            </w14:solidFill>
          </w14:textFill>
        </w:rPr>
        <w:t xml:space="preserve">  —— 任务间相关性</w:t>
      </w:r>
    </w:p>
    <w:p w14:paraId="73E278CC">
      <w:pPr>
        <w:pStyle w:val="32"/>
        <w:ind w:firstLine="420"/>
        <w:jc w:val="left"/>
        <w:rPr>
          <w:rFonts w:hAnsi="宋体" w:cs="宋体"/>
          <w:iCs/>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N</m:t>
        </m:r>
      </m:oMath>
      <w:r>
        <w:rPr>
          <w:rFonts w:hint="eastAsia" w:hAnsi="宋体" w:cs="宋体"/>
          <w:iCs/>
          <w:color w:val="000000" w:themeColor="text1"/>
          <w14:textFill>
            <w14:solidFill>
              <w14:schemeClr w14:val="tx1"/>
            </w14:solidFill>
          </w14:textFill>
        </w:rPr>
        <w:t xml:space="preserve"> —— 测试周期内自主生成的任务总数</w:t>
      </w:r>
    </w:p>
    <w:p w14:paraId="2182FD2E">
      <w:pPr>
        <w:pStyle w:val="32"/>
        <w:ind w:firstLine="420"/>
        <w:jc w:val="left"/>
        <w:rPr>
          <w:rFonts w:hAnsi="宋体" w:cs="宋体"/>
          <w:iCs/>
          <w:color w:val="000000" w:themeColor="text1"/>
          <w14:textFill>
            <w14:solidFill>
              <w14:schemeClr w14:val="tx1"/>
            </w14:solidFill>
          </w14:textFill>
        </w:rPr>
      </w:pP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T</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i</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 xml:space="preserve"> —— 第i个自主生成的任务（i取值范围1到N）</w:t>
      </w:r>
    </w:p>
    <w:p w14:paraId="4E753B9D">
      <w:pPr>
        <w:pStyle w:val="32"/>
        <w:ind w:firstLine="420"/>
        <w:jc w:val="left"/>
        <w:rPr>
          <w:rFonts w:hAnsi="宋体" w:cs="宋体"/>
          <w:iCs/>
          <w:color w:val="000000" w:themeColor="text1"/>
          <w14:textFill>
            <w14:solidFill>
              <w14:schemeClr w14:val="tx1"/>
            </w14:solidFill>
          </w14:textFill>
        </w:rPr>
      </w:pPr>
      <m:oMath>
        <m:r>
          <m:rPr>
            <m:sty m:val="p"/>
          </m:rPr>
          <w:rPr>
            <w:rFonts w:ascii="DejaVu Math TeX Gyre" w:hAnsi="DejaVu Math TeX Gyre" w:cs="宋体"/>
            <w:color w:val="000000" w:themeColor="text1"/>
            <w14:textFill>
              <w14:solidFill>
                <w14:schemeClr w14:val="tx1"/>
              </w14:solidFill>
            </w14:textFill>
          </w:rPr>
          <m:t>H</m:t>
        </m:r>
      </m:oMath>
      <w:r>
        <w:rPr>
          <w:rFonts w:hint="eastAsia" w:hAnsi="宋体" w:cs="宋体"/>
          <w:iCs/>
          <w:color w:val="000000" w:themeColor="text1"/>
          <w14:textFill>
            <w14:solidFill>
              <w14:schemeClr w14:val="tx1"/>
            </w14:solidFill>
          </w14:textFill>
        </w:rPr>
        <w:t xml:space="preserve"> —— 家庭场景的真实任务需求集合（如清洁、整理、安全等典型家庭任务）</w:t>
      </w:r>
    </w:p>
    <w:p w14:paraId="625BFA50">
      <w:pPr>
        <w:pStyle w:val="32"/>
        <w:ind w:firstLine="420"/>
        <w:jc w:val="left"/>
        <w:rPr>
          <w:rFonts w:hAnsi="宋体" w:cs="宋体"/>
          <w:iCs/>
          <w:color w:val="000000" w:themeColor="text1"/>
          <w14:textFill>
            <w14:solidFill>
              <w14:schemeClr w14:val="tx1"/>
            </w14:solidFill>
          </w14:textFill>
        </w:rPr>
      </w:pP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h</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n</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 xml:space="preserve"> —— H集合中的第j个真实家庭任务（</w:t>
      </w: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h</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n</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∈H）</w:t>
      </w:r>
    </w:p>
    <w:p w14:paraId="1FDF5045">
      <w:pPr>
        <w:pStyle w:val="32"/>
        <w:ind w:firstLine="420"/>
        <w:jc w:val="left"/>
        <w:rPr>
          <w:rFonts w:hAnsi="宋体" w:cs="宋体"/>
          <w:iCs/>
          <w:color w:val="000000" w:themeColor="text1"/>
          <w14:textFill>
            <w14:solidFill>
              <w14:schemeClr w14:val="tx1"/>
            </w14:solidFill>
          </w14:textFill>
        </w:rPr>
      </w:pP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w</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n</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 xml:space="preserve"> —— 任务</w:t>
      </w: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h</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j</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的权重系数，反映该任务在家庭场景中的相对重要性（所有</w:t>
      </w:r>
      <m:oMath>
        <m:sSub>
          <m:sSubPr>
            <m:ctrlPr>
              <w:rPr>
                <w:rFonts w:hint="eastAsia" w:ascii="DejaVu Math TeX Gyre" w:hAnsi="DejaVu Math TeX Gyre" w:cs="宋体"/>
                <w:iCs/>
                <w:color w:val="000000" w:themeColor="text1"/>
                <w14:textFill>
                  <w14:solidFill>
                    <w14:schemeClr w14:val="tx1"/>
                  </w14:solidFill>
                </w14:textFill>
              </w:rPr>
            </m:ctrlPr>
          </m:sSubPr>
          <m:e>
            <m:r>
              <m:rPr>
                <m:sty m:val="p"/>
              </m:rPr>
              <w:rPr>
                <w:rFonts w:ascii="DejaVu Math TeX Gyre" w:hAnsi="DejaVu Math TeX Gyre" w:cs="宋体"/>
                <w:color w:val="000000" w:themeColor="text1"/>
                <w14:textFill>
                  <w14:solidFill>
                    <w14:schemeClr w14:val="tx1"/>
                  </w14:solidFill>
                </w14:textFill>
              </w:rPr>
              <m:t>w</m:t>
            </m:r>
            <m:ctrlPr>
              <w:rPr>
                <w:rFonts w:hint="eastAsia" w:ascii="DejaVu Math TeX Gyre" w:hAnsi="DejaVu Math TeX Gyre" w:cs="宋体"/>
                <w:iCs/>
                <w:color w:val="000000" w:themeColor="text1"/>
                <w14:textFill>
                  <w14:solidFill>
                    <w14:schemeClr w14:val="tx1"/>
                  </w14:solidFill>
                </w14:textFill>
              </w:rPr>
            </m:ctrlPr>
          </m:e>
          <m:sub>
            <m:r>
              <m:rPr>
                <m:sty m:val="p"/>
              </m:rPr>
              <w:rPr>
                <w:rFonts w:ascii="DejaVu Math TeX Gyre" w:hAnsi="DejaVu Math TeX Gyre" w:cs="宋体"/>
                <w:color w:val="000000" w:themeColor="text1"/>
                <w14:textFill>
                  <w14:solidFill>
                    <w14:schemeClr w14:val="tx1"/>
                  </w14:solidFill>
                </w14:textFill>
              </w:rPr>
              <m:t>i</m:t>
            </m:r>
            <m:ctrlPr>
              <w:rPr>
                <w:rFonts w:hint="eastAsia" w:ascii="DejaVu Math TeX Gyre" w:hAnsi="DejaVu Math TeX Gyre" w:cs="宋体"/>
                <w:iCs/>
                <w:color w:val="000000" w:themeColor="text1"/>
                <w14:textFill>
                  <w14:solidFill>
                    <w14:schemeClr w14:val="tx1"/>
                  </w14:solidFill>
                </w14:textFill>
              </w:rPr>
            </m:ctrlPr>
          </m:sub>
        </m:sSub>
      </m:oMath>
      <w:r>
        <w:rPr>
          <w:rFonts w:hint="eastAsia" w:hAnsi="宋体" w:cs="宋体"/>
          <w:iCs/>
          <w:color w:val="000000" w:themeColor="text1"/>
          <w14:textFill>
            <w14:solidFill>
              <w14:schemeClr w14:val="tx1"/>
            </w14:solidFill>
          </w14:textFill>
        </w:rPr>
        <w:t>之和为1）</w:t>
      </w:r>
    </w:p>
    <w:p w14:paraId="088BA6EB">
      <w:pPr>
        <w:pStyle w:val="32"/>
        <w:ind w:firstLine="420"/>
        <w:jc w:val="left"/>
        <w:rPr>
          <w:rFonts w:hAnsi="宋体" w:cs="宋体"/>
          <w:iCs/>
          <w:color w:val="000000" w:themeColor="text1"/>
          <w14:textFill>
            <w14:solidFill>
              <w14:schemeClr w14:val="tx1"/>
            </w14:solidFill>
          </w14:textFill>
        </w:rPr>
      </w:pPr>
      <w:r>
        <w:rPr>
          <w:rFonts w:hint="eastAsia" w:hAnsi="宋体" w:cs="宋体"/>
          <w:iCs/>
          <w:color w:val="000000" w:themeColor="text1"/>
          <w14:textFill>
            <w14:solidFill>
              <w14:schemeClr w14:val="tx1"/>
            </w14:solidFill>
          </w14:textFill>
        </w:rPr>
        <w:t>E(·) —— 任务文本的嵌入向量表示函数（通常使用BERT等预训练语言模型获得）</w:t>
      </w:r>
    </w:p>
    <w:p w14:paraId="707335A5">
      <w:pPr>
        <w:pStyle w:val="32"/>
        <w:ind w:firstLine="420"/>
        <w:jc w:val="left"/>
        <w:rPr>
          <w:rFonts w:hAnsi="宋体" w:cs="宋体"/>
          <w:iCs/>
          <w:color w:val="000000" w:themeColor="text1"/>
          <w14:textFill>
            <w14:solidFill>
              <w14:schemeClr w14:val="tx1"/>
            </w14:solidFill>
          </w14:textFill>
        </w:rPr>
      </w:pPr>
      <w:r>
        <w:rPr>
          <w:rFonts w:hint="eastAsia" w:hAnsi="宋体" w:cs="宋体"/>
          <w:iCs/>
          <w:color w:val="000000" w:themeColor="text1"/>
          <w14:textFill>
            <w14:solidFill>
              <w14:schemeClr w14:val="tx1"/>
            </w14:solidFill>
          </w14:textFill>
        </w:rPr>
        <w:t>cos(·,·) —— 余弦相似度函数，计算两个向量之间的相似度（值域[-1,1]，实际使用时取绝对值并归一化到[0,1]范围）</w:t>
      </w:r>
    </w:p>
    <w:p w14:paraId="50333597">
      <w:pPr>
        <w:pStyle w:val="32"/>
        <w:ind w:firstLine="420"/>
        <w:rPr>
          <w:rFonts w:ascii="Times New Roman Regular" w:hAnsi="Times New Roman Regular" w:cs="Times New Roman Regular"/>
          <w:color w:val="000000" w:themeColor="text1"/>
          <w14:textFill>
            <w14:solidFill>
              <w14:schemeClr w14:val="tx1"/>
            </w14:solidFill>
          </w14:textFill>
        </w:rPr>
      </w:pPr>
    </w:p>
    <w:p w14:paraId="30816131">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 xml:space="preserve">b) </w:t>
      </w:r>
      <w:r>
        <w:rPr>
          <w:rFonts w:hint="eastAsia" w:hAnsi="宋体" w:cs="宋体"/>
          <w:b/>
          <w:bCs/>
          <w:color w:val="000000" w:themeColor="text1"/>
          <w14:textFill>
            <w14:solidFill>
              <w14:schemeClr w14:val="tx1"/>
            </w14:solidFill>
          </w14:textFill>
        </w:rPr>
        <w:t>覆盖度</w:t>
      </w:r>
      <w:r>
        <w:rPr>
          <w:rFonts w:hint="eastAsia" w:hAnsi="宋体" w:cs="宋体"/>
          <w:color w:val="000000" w:themeColor="text1"/>
          <w14:textFill>
            <w14:solidFill>
              <w14:schemeClr w14:val="tx1"/>
            </w14:solidFill>
          </w14:textFill>
        </w:rPr>
        <w:t>：</w:t>
      </w:r>
      <w:r>
        <w:rPr>
          <w:rFonts w:hint="eastAsia" w:hAnsi="宋体" w:cs="宋体"/>
        </w:rPr>
        <w:t>衡量系统能够完成的家庭任务类别的多样性，反映泛化能力。</w:t>
      </w:r>
      <w:r>
        <w:rPr>
          <w:rFonts w:hint="eastAsia" w:hAnsi="宋体" w:cs="宋体"/>
          <w:color w:val="000000" w:themeColor="text1"/>
          <w14:textFill>
            <w14:solidFill>
              <w14:schemeClr w14:val="tx1"/>
            </w14:solidFill>
          </w14:textFill>
        </w:rPr>
        <w:t>计算方法见公式（3）：</w:t>
      </w:r>
    </w:p>
    <w:p w14:paraId="19960254">
      <w:pPr>
        <w:pStyle w:val="32"/>
        <w:ind w:firstLine="0" w:firstLineChars="0"/>
        <w:jc w:val="center"/>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drawing>
          <wp:inline distT="0" distB="0" distL="114300" distR="114300">
            <wp:extent cx="2760980" cy="627380"/>
            <wp:effectExtent l="0" t="0" r="7620" b="7620"/>
            <wp:docPr id="13" name="图片 13" descr="Screenshot 2025-08-01 at 19.5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Screenshot 2025-08-01 at 19.54.27"/>
                    <pic:cNvPicPr>
                      <a:picLocks noChangeAspect="1"/>
                    </pic:cNvPicPr>
                  </pic:nvPicPr>
                  <pic:blipFill>
                    <a:blip r:embed="rId15"/>
                    <a:stretch>
                      <a:fillRect/>
                    </a:stretch>
                  </pic:blipFill>
                  <pic:spPr>
                    <a:xfrm>
                      <a:off x="0" y="0"/>
                      <a:ext cx="2760980" cy="627380"/>
                    </a:xfrm>
                    <a:prstGeom prst="rect">
                      <a:avLst/>
                    </a:prstGeom>
                  </pic:spPr>
                </pic:pic>
              </a:graphicData>
            </a:graphic>
          </wp:inline>
        </w:drawing>
      </w:r>
    </w:p>
    <w:p w14:paraId="2A988498">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式中：</w:t>
      </w:r>
    </w:p>
    <w:p w14:paraId="47DE4E1B">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TC——任务覆盖度</w:t>
      </w:r>
    </w:p>
    <w:p w14:paraId="62B6717E">
      <w:pPr>
        <w:pStyle w:val="32"/>
        <w:ind w:firstLine="420"/>
        <w:jc w:val="left"/>
        <w:rPr>
          <w:rFonts w:hAnsi="宋体" w:cs="宋体"/>
          <w:color w:val="000000" w:themeColor="text1"/>
          <w14:textFill>
            <w14:solidFill>
              <w14:schemeClr w14:val="tx1"/>
            </w14:solidFill>
          </w14:textFill>
        </w:rPr>
      </w:pPr>
      <m:oMath>
        <m:sSub>
          <m:sSubPr>
            <m:ctrlPr>
              <w:rPr>
                <w:rFonts w:hint="eastAsia" w:ascii="DejaVu Math TeX Gyre" w:hAnsi="DejaVu Math TeX Gyre" w:cs="宋体"/>
                <w:i/>
                <w:color w:val="000000" w:themeColor="text1"/>
                <w14:textFill>
                  <w14:solidFill>
                    <w14:schemeClr w14:val="tx1"/>
                  </w14:solidFill>
                </w14:textFill>
              </w:rPr>
            </m:ctrlPr>
          </m:sSubPr>
          <m:e>
            <m:r>
              <m:rPr>
                <m:sty m:val="p"/>
              </m:rPr>
              <w:rPr>
                <w:rFonts w:hint="eastAsia" w:ascii="DejaVu Math TeX Gyre" w:hAnsi="DejaVu Math TeX Gyre" w:cs="宋体"/>
                <w:color w:val="000000" w:themeColor="text1"/>
                <w14:textFill>
                  <w14:solidFill>
                    <w14:schemeClr w14:val="tx1"/>
                  </w14:solidFill>
                </w14:textFill>
              </w:rPr>
              <m:t>Ω</m:t>
            </m:r>
            <m:ctrlPr>
              <w:rPr>
                <w:rFonts w:hint="eastAsia" w:ascii="DejaVu Math TeX Gyre" w:hAnsi="DejaVu Math TeX Gyre" w:cs="宋体"/>
                <w:i/>
                <w:color w:val="000000" w:themeColor="text1"/>
                <w14:textFill>
                  <w14:solidFill>
                    <w14:schemeClr w14:val="tx1"/>
                  </w14:solidFill>
                </w14:textFill>
              </w:rPr>
            </m:ctrlPr>
          </m:e>
          <m:sub>
            <m:r>
              <m:rPr>
                <m:nor/>
                <m:sty m:val="p"/>
              </m:rPr>
              <w:rPr>
                <w:rFonts w:hint="eastAsia" w:ascii="DejaVu Math TeX Gyre" w:hAnsi="DejaVu Math TeX Gyre" w:cs="宋体"/>
                <w:b w:val="0"/>
                <w:i w:val="0"/>
                <w:color w:val="000000" w:themeColor="text1"/>
                <w14:textFill>
                  <w14:solidFill>
                    <w14:schemeClr w14:val="tx1"/>
                  </w14:solidFill>
                </w14:textFill>
              </w:rPr>
              <m:t>completed</m:t>
            </m:r>
            <m:ctrlPr>
              <w:rPr>
                <w:rFonts w:hint="eastAsia" w:ascii="DejaVu Math TeX Gyre" w:hAnsi="DejaVu Math TeX Gyre" w:cs="宋体"/>
                <w:i/>
                <w:color w:val="000000" w:themeColor="text1"/>
                <w14:textFill>
                  <w14:solidFill>
                    <w14:schemeClr w14:val="tx1"/>
                  </w14:solidFill>
                </w14:textFill>
              </w:rPr>
            </m:ctrlPr>
          </m:sub>
        </m:sSub>
      </m:oMath>
      <w:r>
        <w:rPr>
          <w:rFonts w:hint="eastAsia" w:hAnsi="宋体" w:cs="宋体"/>
          <w:color w:val="000000" w:themeColor="text1"/>
          <w14:textFill>
            <w14:solidFill>
              <w14:schemeClr w14:val="tx1"/>
            </w14:solidFill>
          </w14:textFill>
        </w:rPr>
        <w:t>——成功完成的任务类型集合</w:t>
      </w:r>
    </w:p>
    <w:p w14:paraId="1D4275D3">
      <w:pPr>
        <w:pStyle w:val="32"/>
        <w:ind w:firstLine="420"/>
        <w:jc w:val="left"/>
        <w:rPr>
          <w:rFonts w:hAnsi="宋体" w:cs="宋体"/>
          <w:color w:val="000000" w:themeColor="text1"/>
          <w14:textFill>
            <w14:solidFill>
              <w14:schemeClr w14:val="tx1"/>
            </w14:solidFill>
          </w14:textFill>
        </w:rPr>
      </w:pPr>
      <m:oMath>
        <m:sSub>
          <m:sSubPr>
            <m:ctrlPr>
              <w:rPr>
                <w:rFonts w:hint="eastAsia" w:ascii="DejaVu Math TeX Gyre" w:hAnsi="DejaVu Math TeX Gyre" w:cs="宋体"/>
                <w:i/>
                <w:color w:val="000000" w:themeColor="text1"/>
                <w14:textFill>
                  <w14:solidFill>
                    <w14:schemeClr w14:val="tx1"/>
                  </w14:solidFill>
                </w14:textFill>
              </w:rPr>
            </m:ctrlPr>
          </m:sSubPr>
          <m:e>
            <m:r>
              <m:rPr>
                <m:sty m:val="p"/>
              </m:rPr>
              <w:rPr>
                <w:rFonts w:hint="eastAsia" w:ascii="DejaVu Math TeX Gyre" w:hAnsi="DejaVu Math TeX Gyre" w:cs="宋体"/>
                <w:color w:val="000000" w:themeColor="text1"/>
                <w14:textFill>
                  <w14:solidFill>
                    <w14:schemeClr w14:val="tx1"/>
                  </w14:solidFill>
                </w14:textFill>
              </w:rPr>
              <m:t>Ω</m:t>
            </m:r>
            <m:ctrlPr>
              <w:rPr>
                <w:rFonts w:hint="eastAsia" w:ascii="DejaVu Math TeX Gyre" w:hAnsi="DejaVu Math TeX Gyre" w:cs="宋体"/>
                <w:i/>
                <w:color w:val="000000" w:themeColor="text1"/>
                <w14:textFill>
                  <w14:solidFill>
                    <w14:schemeClr w14:val="tx1"/>
                  </w14:solidFill>
                </w14:textFill>
              </w:rPr>
            </m:ctrlPr>
          </m:e>
          <m:sub>
            <m:r>
              <m:rPr>
                <m:nor/>
                <m:sty m:val="p"/>
              </m:rPr>
              <w:rPr>
                <w:rFonts w:hint="eastAsia" w:ascii="DejaVu Math TeX Gyre" w:hAnsi="DejaVu Math TeX Gyre" w:cs="宋体"/>
                <w:b w:val="0"/>
                <w:i w:val="0"/>
                <w:color w:val="000000" w:themeColor="text1"/>
                <w14:textFill>
                  <w14:solidFill>
                    <w14:schemeClr w14:val="tx1"/>
                  </w14:solidFill>
                </w14:textFill>
              </w:rPr>
              <m:t>total</m:t>
            </m:r>
            <m:ctrlPr>
              <w:rPr>
                <w:rFonts w:hint="eastAsia" w:ascii="DejaVu Math TeX Gyre" w:hAnsi="DejaVu Math TeX Gyre" w:cs="宋体"/>
                <w:i/>
                <w:color w:val="000000" w:themeColor="text1"/>
                <w14:textFill>
                  <w14:solidFill>
                    <w14:schemeClr w14:val="tx1"/>
                  </w14:solidFill>
                </w14:textFill>
              </w:rPr>
            </m:ctrlPr>
          </m:sub>
        </m:sSub>
      </m:oMath>
      <w:r>
        <w:rPr>
          <w:rFonts w:hint="eastAsia" w:hAnsi="宋体" w:cs="宋体"/>
          <w:color w:val="000000" w:themeColor="text1"/>
          <w14:textFill>
            <w14:solidFill>
              <w14:schemeClr w14:val="tx1"/>
            </w14:solidFill>
          </w14:textFill>
        </w:rPr>
        <w:t>——测试中所有任务类型的集合</w:t>
      </w:r>
    </w:p>
    <w:p w14:paraId="15FC0BF4">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∣⋅∣——集合的基数（元素数量）</w:t>
      </w:r>
    </w:p>
    <w:p w14:paraId="3B502B95">
      <w:pPr>
        <w:pStyle w:val="32"/>
        <w:ind w:firstLine="420"/>
        <w:rPr>
          <w:rFonts w:hAnsi="宋体" w:cs="宋体"/>
          <w:color w:val="000000" w:themeColor="text1"/>
          <w14:textFill>
            <w14:solidFill>
              <w14:schemeClr w14:val="tx1"/>
            </w14:solidFill>
          </w14:textFill>
        </w:rPr>
      </w:pPr>
    </w:p>
    <w:p w14:paraId="3B1F54CD">
      <w:pPr>
        <w:pStyle w:val="32"/>
        <w:ind w:firstLine="420"/>
        <w:rPr>
          <w:rFonts w:hAnsi="宋体" w:cs="宋体"/>
        </w:rPr>
      </w:pPr>
      <w:r>
        <w:rPr>
          <w:rFonts w:hint="eastAsia" w:hAnsi="宋体" w:cs="宋体"/>
        </w:rPr>
        <w:t xml:space="preserve">c) </w:t>
      </w:r>
      <w:r>
        <w:rPr>
          <w:rFonts w:hint="eastAsia" w:hAnsi="宋体" w:cs="宋体"/>
          <w:b/>
          <w:bCs/>
        </w:rPr>
        <w:t>自主生成任务</w:t>
      </w:r>
      <w:r>
        <w:rPr>
          <w:rFonts w:hint="eastAsia" w:hAnsi="宋体" w:cs="宋体"/>
        </w:rPr>
        <w:t>：</w:t>
      </w:r>
      <w:r>
        <w:rPr>
          <w:rFonts w:hint="eastAsia" w:hAnsi="宋体" w:cs="宋体"/>
          <w:color w:val="000000" w:themeColor="text1"/>
          <w14:textFill>
            <w14:solidFill>
              <w14:schemeClr w14:val="tx1"/>
            </w14:solidFill>
          </w14:textFill>
        </w:rPr>
        <w:t>自主生成任务</w:t>
      </w:r>
      <w:r>
        <w:rPr>
          <w:rFonts w:hint="eastAsia" w:hAnsi="宋体" w:cs="宋体"/>
        </w:rPr>
        <w:t>测试指标总分计算见公式（4）：</w:t>
      </w:r>
    </w:p>
    <w:p w14:paraId="5A5AC892">
      <w:pPr>
        <w:pStyle w:val="32"/>
        <w:ind w:firstLine="420"/>
        <w:jc w:val="center"/>
        <w:rPr>
          <w:rFonts w:hAnsi="宋体" w:cs="宋体"/>
        </w:rPr>
      </w:pPr>
      <w:r>
        <w:rPr>
          <w:rFonts w:hint="eastAsia" w:hAnsi="宋体" w:cs="宋体"/>
        </w:rPr>
        <w:drawing>
          <wp:inline distT="0" distB="0" distL="0" distR="0">
            <wp:extent cx="2873375" cy="287655"/>
            <wp:effectExtent l="0" t="0" r="317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a:stretch>
                      <a:fillRect/>
                    </a:stretch>
                  </pic:blipFill>
                  <pic:spPr>
                    <a:xfrm>
                      <a:off x="0" y="0"/>
                      <a:ext cx="2902252" cy="290917"/>
                    </a:xfrm>
                    <a:prstGeom prst="rect">
                      <a:avLst/>
                    </a:prstGeom>
                  </pic:spPr>
                </pic:pic>
              </a:graphicData>
            </a:graphic>
          </wp:inline>
        </w:drawing>
      </w:r>
    </w:p>
    <w:p w14:paraId="24657EC6">
      <w:pPr>
        <w:pStyle w:val="32"/>
        <w:ind w:firstLine="420"/>
        <w:jc w:val="left"/>
        <w:rPr>
          <w:rFonts w:hAnsi="宋体" w:cs="宋体"/>
          <w:color w:val="000000" w:themeColor="text1"/>
          <w14:textFill>
            <w14:solidFill>
              <w14:schemeClr w14:val="tx1"/>
            </w14:solidFill>
          </w14:textFill>
        </w:rPr>
      </w:pPr>
      <m:oMath>
        <m:r>
          <m:rPr/>
          <w:rPr>
            <w:rFonts w:hint="eastAsia" w:ascii="DejaVu Math TeX Gyre" w:hAnsi="DejaVu Math TeX Gyre" w:cs="宋体"/>
            <w:color w:val="000000" w:themeColor="text1"/>
            <w14:textFill>
              <w14:solidFill>
                <w14:schemeClr w14:val="tx1"/>
              </w14:solidFill>
            </w14:textFill>
          </w:rPr>
          <m:t>A</m:t>
        </m:r>
      </m:oMath>
      <w:r>
        <w:rPr>
          <w:rFonts w:hint="eastAsia" w:hAnsi="宋体" w:cs="宋体"/>
          <w:color w:val="000000" w:themeColor="text1"/>
          <w14:textFill>
            <w14:solidFill>
              <w14:schemeClr w14:val="tx1"/>
            </w14:solidFill>
          </w14:textFill>
        </w:rPr>
        <w:t>——自主生成任务指标得分</w:t>
      </w:r>
    </w:p>
    <w:p w14:paraId="65FD48EC">
      <w:pPr>
        <w:pStyle w:val="32"/>
        <w:ind w:firstLine="420"/>
        <w:jc w:val="left"/>
        <w:rPr>
          <w:rFonts w:hAnsi="宋体" w:cs="宋体"/>
          <w:color w:val="000000" w:themeColor="text1"/>
          <w14:textFill>
            <w14:solidFill>
              <w14:schemeClr w14:val="tx1"/>
            </w14:solidFill>
          </w14:textFill>
        </w:rPr>
      </w:pPr>
      <m:oMath>
        <m:r>
          <m:rPr/>
          <w:rPr>
            <w:rFonts w:hint="eastAsia" w:ascii="DejaVu Math TeX Gyre" w:hAnsi="DejaVu Math TeX Gyre" w:cs="宋体"/>
          </w:rPr>
          <m:t>R</m:t>
        </m:r>
      </m:oMath>
      <w:r>
        <w:rPr>
          <w:rFonts w:hint="eastAsia" w:hAnsi="宋体" w:cs="宋体"/>
          <w:color w:val="000000" w:themeColor="text1"/>
          <w14:textFill>
            <w14:solidFill>
              <w14:schemeClr w14:val="tx1"/>
            </w14:solidFill>
          </w14:textFill>
        </w:rPr>
        <w:t>——任务相关性</w:t>
      </w:r>
    </w:p>
    <w:p w14:paraId="5762595D">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TC——任务覆盖度</w:t>
      </w:r>
    </w:p>
    <w:p w14:paraId="28D3DF53">
      <w:pPr>
        <w:pStyle w:val="32"/>
        <w:ind w:firstLine="420"/>
        <w:jc w:val="left"/>
        <w:rPr>
          <w:rFonts w:hAnsi="宋体" w:cs="宋体"/>
          <w:color w:val="000000" w:themeColor="text1"/>
          <w14:textFill>
            <w14:solidFill>
              <w14:schemeClr w14:val="tx1"/>
            </w14:solidFill>
          </w14:textFill>
        </w:rPr>
      </w:pPr>
      <m:oMath>
        <m:r>
          <m:rPr/>
          <w:rPr>
            <w:rFonts w:hint="eastAsia" w:ascii="DejaVu Math TeX Gyre" w:hAnsi="DejaVu Math TeX Gyre" w:cs="宋体"/>
          </w:rPr>
          <m:t>α</m:t>
        </m:r>
      </m:oMath>
      <w:r>
        <w:rPr>
          <w:rFonts w:hint="eastAsia" w:hAnsi="宋体" w:cs="宋体"/>
          <w:color w:val="000000" w:themeColor="text1"/>
          <w14:textFill>
            <w14:solidFill>
              <w14:schemeClr w14:val="tx1"/>
            </w14:solidFill>
          </w14:textFill>
        </w:rPr>
        <w:t>——任务相关性权重</w:t>
      </w:r>
    </w:p>
    <w:p w14:paraId="47AD480D">
      <w:pPr>
        <w:pStyle w:val="27"/>
        <w:ind w:left="0" w:leftChars="0" w:firstLine="0" w:firstLineChars="0"/>
      </w:pPr>
    </w:p>
    <w:p w14:paraId="40156F57">
      <w:pPr>
        <w:pStyle w:val="31"/>
        <w:spacing w:before="312" w:after="312"/>
      </w:pPr>
      <w:bookmarkStart w:id="42" w:name="_Toc205400293"/>
      <w:r>
        <w:rPr>
          <w:rFonts w:hint="eastAsia"/>
        </w:rPr>
        <w:t>测试</w:t>
      </w:r>
      <w:bookmarkEnd w:id="42"/>
      <w:r>
        <w:rPr>
          <w:rFonts w:hint="eastAsia"/>
        </w:rPr>
        <w:t>任务维度</w:t>
      </w:r>
    </w:p>
    <w:p w14:paraId="7453C00E">
      <w:pPr>
        <w:pStyle w:val="31"/>
        <w:numPr>
          <w:ilvl w:val="0"/>
          <w:numId w:val="0"/>
        </w:numPr>
        <w:spacing w:before="156" w:beforeLines="50" w:after="156" w:afterLines="50"/>
      </w:pPr>
      <w:bookmarkStart w:id="43" w:name="_Toc205400294"/>
      <w:r>
        <w:rPr>
          <w:rFonts w:hint="eastAsia"/>
        </w:rPr>
        <w:t>5.1　概述</w:t>
      </w:r>
      <w:bookmarkEnd w:id="43"/>
    </w:p>
    <w:p w14:paraId="5DC86D3B">
      <w:pPr>
        <w:ind w:firstLine="420" w:firstLineChars="200"/>
        <w:jc w:val="left"/>
        <w:rPr>
          <w:rFonts w:ascii="宋体" w:hAnsi="宋体" w:cs="宋体"/>
          <w:szCs w:val="21"/>
        </w:rPr>
      </w:pPr>
      <w:r>
        <w:rPr>
          <w:rFonts w:hint="eastAsia" w:ascii="宋体" w:hAnsi="宋体" w:cs="宋体"/>
          <w:szCs w:val="21"/>
        </w:rPr>
        <w:t>家庭环境通用人工智能视觉</w:t>
      </w:r>
      <w:r>
        <w:rPr>
          <w:rFonts w:hint="eastAsia"/>
        </w:rPr>
        <w:t>心智</w:t>
      </w:r>
      <w:r>
        <w:rPr>
          <w:rFonts w:hint="eastAsia" w:ascii="宋体" w:hAnsi="宋体" w:cs="宋体"/>
          <w:szCs w:val="21"/>
        </w:rPr>
        <w:t>测试任务维度主要分为静态视觉理解和动态视觉理解，见图2。静态视觉理解包括客体属性及关系理解、视觉语言联合解译、状态理解、视觉常识理解4个二级维度。动态视觉理解包括事件理解、行为意图理解、情绪理解3个二级维度。视觉理解能力测试维度和典型任务见表1。</w:t>
      </w:r>
    </w:p>
    <w:p w14:paraId="277ADF78">
      <w:pPr>
        <w:jc w:val="center"/>
        <w:rPr>
          <w:rFonts w:ascii="Times New Roman Regular" w:hAnsi="Times New Roman Regular" w:cs="Times New Roman Regular"/>
        </w:rPr>
      </w:pPr>
      <w:r>
        <w:rPr>
          <w:rFonts w:hint="eastAsia" w:ascii="宋体" w:hAnsi="宋体" w:cs="宋体"/>
        </w:rPr>
        <w:drawing>
          <wp:inline distT="0" distB="0" distL="0" distR="0">
            <wp:extent cx="5186045" cy="1729740"/>
            <wp:effectExtent l="0" t="0" r="0" b="381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7"/>
                    <a:stretch>
                      <a:fillRect/>
                    </a:stretch>
                  </pic:blipFill>
                  <pic:spPr>
                    <a:xfrm>
                      <a:off x="0" y="0"/>
                      <a:ext cx="5202740" cy="1735708"/>
                    </a:xfrm>
                    <a:prstGeom prst="rect">
                      <a:avLst/>
                    </a:prstGeom>
                  </pic:spPr>
                </pic:pic>
              </a:graphicData>
            </a:graphic>
          </wp:inline>
        </w:drawing>
      </w:r>
    </w:p>
    <w:p w14:paraId="24FF2284">
      <w:pPr>
        <w:pStyle w:val="27"/>
        <w:jc w:val="center"/>
        <w:rPr>
          <w:rFonts w:ascii="黑体" w:hAnsi="黑体" w:eastAsia="黑体"/>
        </w:rPr>
      </w:pPr>
      <w:r>
        <w:rPr>
          <w:rFonts w:ascii="黑体" w:hAnsi="黑体" w:eastAsia="黑体"/>
          <w:color w:val="000000"/>
        </w:rPr>
        <w:t xml:space="preserve">图2 </w:t>
      </w:r>
      <w:r>
        <w:rPr>
          <w:rFonts w:ascii="黑体" w:hAnsi="黑体" w:eastAsia="黑体"/>
        </w:rPr>
        <w:t>家庭环境通用</w:t>
      </w:r>
      <w:r>
        <w:rPr>
          <w:rFonts w:ascii="黑体" w:hAnsi="黑体" w:eastAsia="黑体"/>
          <w:szCs w:val="24"/>
        </w:rPr>
        <w:t>人工智能</w:t>
      </w:r>
      <w:r>
        <w:rPr>
          <w:rFonts w:ascii="黑体" w:hAnsi="黑体" w:eastAsia="黑体"/>
        </w:rPr>
        <w:t>视觉理解能力测试指标</w:t>
      </w:r>
    </w:p>
    <w:p w14:paraId="6F1A66DD">
      <w:pPr>
        <w:widowControl/>
        <w:jc w:val="left"/>
        <w:rPr>
          <w:rFonts w:ascii="黑体" w:hAnsi="黑体" w:eastAsia="黑体" w:cs="Times New Roman Regular"/>
          <w:kern w:val="0"/>
          <w:sz w:val="20"/>
        </w:rPr>
      </w:pPr>
    </w:p>
    <w:p w14:paraId="73694B2C">
      <w:pPr>
        <w:pStyle w:val="27"/>
        <w:jc w:val="center"/>
        <w:rPr>
          <w:rFonts w:ascii="黑体" w:hAnsi="黑体" w:eastAsia="黑体"/>
        </w:rPr>
      </w:pPr>
      <w:r>
        <w:rPr>
          <w:rFonts w:ascii="黑体" w:hAnsi="黑体" w:eastAsia="黑体"/>
        </w:rPr>
        <w:t>表1 理解能力评测维度和典型任务</w:t>
      </w:r>
    </w:p>
    <w:tbl>
      <w:tblPr>
        <w:tblStyle w:val="8"/>
        <w:tblW w:w="8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2"/>
        <w:gridCol w:w="1060"/>
        <w:gridCol w:w="2693"/>
        <w:gridCol w:w="3544"/>
      </w:tblGrid>
      <w:tr w14:paraId="6045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tcPr>
          <w:p w14:paraId="366DC664">
            <w:pPr>
              <w:jc w:val="left"/>
              <w:rPr>
                <w:rFonts w:ascii="Times New Roman Regular" w:hAnsi="Times New Roman Regular" w:cs="Times New Roman Regular"/>
                <w:sz w:val="20"/>
              </w:rPr>
            </w:pPr>
            <w:r>
              <w:rPr>
                <w:rFonts w:ascii="Times New Roman Regular" w:hAnsi="Times New Roman Regular" w:cs="Times New Roman Regular"/>
                <w:sz w:val="20"/>
              </w:rPr>
              <w:t>一级维度</w:t>
            </w:r>
          </w:p>
        </w:tc>
        <w:tc>
          <w:tcPr>
            <w:tcW w:w="1060" w:type="dxa"/>
          </w:tcPr>
          <w:p w14:paraId="506541FB">
            <w:pPr>
              <w:jc w:val="left"/>
              <w:rPr>
                <w:rFonts w:ascii="Times New Roman Regular" w:hAnsi="Times New Roman Regular" w:cs="Times New Roman Regular"/>
                <w:sz w:val="20"/>
              </w:rPr>
            </w:pPr>
            <w:r>
              <w:rPr>
                <w:rFonts w:ascii="Times New Roman Regular" w:hAnsi="Times New Roman Regular" w:cs="Times New Roman Regular"/>
                <w:sz w:val="20"/>
              </w:rPr>
              <w:t>二级维度</w:t>
            </w:r>
          </w:p>
        </w:tc>
        <w:tc>
          <w:tcPr>
            <w:tcW w:w="2693" w:type="dxa"/>
          </w:tcPr>
          <w:p w14:paraId="39BE0ECB">
            <w:pPr>
              <w:jc w:val="left"/>
              <w:rPr>
                <w:rFonts w:ascii="Times New Roman Regular" w:hAnsi="Times New Roman Regular" w:cs="Times New Roman Regular"/>
                <w:sz w:val="20"/>
              </w:rPr>
            </w:pPr>
            <w:r>
              <w:rPr>
                <w:rFonts w:ascii="Times New Roman Regular" w:hAnsi="Times New Roman Regular" w:cs="Times New Roman Regular"/>
                <w:sz w:val="20"/>
              </w:rPr>
              <w:t>描述</w:t>
            </w:r>
          </w:p>
        </w:tc>
        <w:tc>
          <w:tcPr>
            <w:tcW w:w="3544" w:type="dxa"/>
          </w:tcPr>
          <w:p w14:paraId="4AFD87ED">
            <w:pPr>
              <w:jc w:val="left"/>
              <w:rPr>
                <w:rFonts w:ascii="Times New Roman Regular" w:hAnsi="Times New Roman Regular" w:cs="Times New Roman Regular"/>
                <w:sz w:val="20"/>
              </w:rPr>
            </w:pPr>
            <w:r>
              <w:rPr>
                <w:rFonts w:ascii="Times New Roman Regular" w:hAnsi="Times New Roman Regular" w:cs="Times New Roman Regular"/>
                <w:sz w:val="20"/>
              </w:rPr>
              <w:t>典型任务</w:t>
            </w:r>
          </w:p>
        </w:tc>
      </w:tr>
      <w:tr w14:paraId="07A6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1062" w:type="dxa"/>
            <w:vMerge w:val="restart"/>
          </w:tcPr>
          <w:p w14:paraId="26FC9280">
            <w:pPr>
              <w:jc w:val="left"/>
              <w:rPr>
                <w:rFonts w:ascii="Times New Roman Regular" w:hAnsi="Times New Roman Regular" w:cs="Times New Roman Regular"/>
                <w:sz w:val="20"/>
              </w:rPr>
            </w:pPr>
            <w:r>
              <w:rPr>
                <w:rFonts w:ascii="Times New Roman Regular" w:hAnsi="Times New Roman Regular" w:cs="Times New Roman Regular"/>
                <w:sz w:val="20"/>
              </w:rPr>
              <w:t>静态视觉理解</w:t>
            </w:r>
          </w:p>
        </w:tc>
        <w:tc>
          <w:tcPr>
            <w:tcW w:w="1060" w:type="dxa"/>
          </w:tcPr>
          <w:p w14:paraId="64725B85">
            <w:pPr>
              <w:jc w:val="left"/>
              <w:rPr>
                <w:rFonts w:ascii="Times New Roman Regular" w:hAnsi="Times New Roman Regular" w:cs="Times New Roman Regular"/>
                <w:sz w:val="20"/>
              </w:rPr>
            </w:pPr>
            <w:r>
              <w:rPr>
                <w:rFonts w:ascii="Times New Roman Regular" w:hAnsi="Times New Roman Regular" w:cs="Times New Roman Regular"/>
                <w:sz w:val="20"/>
              </w:rPr>
              <w:t>客体属性</w:t>
            </w:r>
            <w:r>
              <w:rPr>
                <w:rFonts w:hint="eastAsia" w:ascii="Times New Roman Regular" w:hAnsi="Times New Roman Regular" w:cs="Times New Roman Regular"/>
                <w:sz w:val="20"/>
              </w:rPr>
              <w:t>及</w:t>
            </w:r>
            <w:r>
              <w:rPr>
                <w:rFonts w:ascii="Times New Roman Regular" w:hAnsi="Times New Roman Regular" w:cs="Times New Roman Regular"/>
                <w:sz w:val="20"/>
              </w:rPr>
              <w:t>关系理解</w:t>
            </w:r>
          </w:p>
        </w:tc>
        <w:tc>
          <w:tcPr>
            <w:tcW w:w="2693" w:type="dxa"/>
          </w:tcPr>
          <w:p w14:paraId="6A758A70">
            <w:pPr>
              <w:jc w:val="left"/>
              <w:rPr>
                <w:rFonts w:ascii="Times New Roman Regular" w:hAnsi="Times New Roman Regular" w:cs="Times New Roman Regular"/>
              </w:rPr>
            </w:pPr>
            <w:r>
              <w:rPr>
                <w:rFonts w:ascii="Times New Roman Regular" w:hAnsi="Times New Roman Regular" w:cs="Times New Roman Regular"/>
                <w:color w:val="000000"/>
                <w:sz w:val="20"/>
              </w:rPr>
              <w:t>系统能够识别出图像的核心内容</w:t>
            </w:r>
            <w:r>
              <w:rPr>
                <w:rFonts w:hint="eastAsia" w:ascii="Times New Roman Regular" w:hAnsi="Times New Roman Regular" w:cs="Times New Roman Regular"/>
                <w:color w:val="000000"/>
                <w:sz w:val="20"/>
              </w:rPr>
              <w:t>，</w:t>
            </w:r>
            <w:r>
              <w:rPr>
                <w:rFonts w:ascii="Times New Roman Regular" w:hAnsi="Times New Roman Regular" w:cs="Times New Roman Regular"/>
                <w:color w:val="000000"/>
                <w:sz w:val="20"/>
              </w:rPr>
              <w:t>从图像中提取关键信息，确保识别结果具有较高的精确度和鲁棒性</w:t>
            </w:r>
            <w:r>
              <w:rPr>
                <w:rFonts w:hint="eastAsia" w:ascii="Times New Roman Regular" w:hAnsi="Times New Roman Regular" w:cs="Times New Roman Regular"/>
                <w:color w:val="000000"/>
                <w:sz w:val="20"/>
              </w:rPr>
              <w:t>；</w:t>
            </w:r>
            <w:r>
              <w:rPr>
                <w:rFonts w:ascii="Times New Roman Regular" w:hAnsi="Times New Roman Regular" w:cs="Times New Roman Regular"/>
                <w:sz w:val="20"/>
              </w:rPr>
              <w:t>能理解不同物体之间的空间关系</w:t>
            </w:r>
            <w:r>
              <w:rPr>
                <w:rFonts w:hint="eastAsia" w:ascii="Times New Roman Regular" w:hAnsi="Times New Roman Regular" w:cs="Times New Roman Regular"/>
                <w:sz w:val="20"/>
              </w:rPr>
              <w:t>。</w:t>
            </w:r>
          </w:p>
        </w:tc>
        <w:tc>
          <w:tcPr>
            <w:tcW w:w="3544" w:type="dxa"/>
          </w:tcPr>
          <w:p w14:paraId="2419001B">
            <w:pPr>
              <w:jc w:val="left"/>
              <w:rPr>
                <w:rFonts w:ascii="Times New Roman Regular" w:hAnsi="Times New Roman Regular" w:cs="Times New Roman Regular"/>
              </w:rPr>
            </w:pPr>
            <w:r>
              <w:rPr>
                <w:rFonts w:ascii="Times New Roman Regular" w:hAnsi="Times New Roman Regular" w:cs="Times New Roman Regular"/>
                <w:color w:val="000000"/>
                <w:sz w:val="20"/>
              </w:rPr>
              <w:t>对比被测对象输出图像识别对象与真实对象标签，如一致，则记为正确；</w:t>
            </w:r>
            <w:r>
              <w:rPr>
                <w:rFonts w:ascii="Times New Roman Regular" w:hAnsi="Times New Roman Regular" w:cs="Times New Roman Regular"/>
                <w:sz w:val="20"/>
              </w:rPr>
              <w:t>图像深度估计、空间结构理解、三维形状理解</w:t>
            </w:r>
            <w:r>
              <w:rPr>
                <w:rFonts w:hint="eastAsia" w:ascii="Times New Roman Regular" w:hAnsi="Times New Roman Regular" w:cs="Times New Roman Regular"/>
                <w:sz w:val="20"/>
              </w:rPr>
              <w:t>；</w:t>
            </w:r>
            <w:r>
              <w:rPr>
                <w:rFonts w:ascii="Times New Roman Regular" w:hAnsi="Times New Roman Regular" w:cs="Times New Roman Regular"/>
                <w:sz w:val="20"/>
              </w:rPr>
              <w:t>分析场景中物体间的空间、功能等关系</w:t>
            </w:r>
            <w:r>
              <w:rPr>
                <w:rFonts w:hint="eastAsia" w:ascii="Times New Roman Regular" w:hAnsi="Times New Roman Regular" w:cs="Times New Roman Regular"/>
                <w:sz w:val="20"/>
              </w:rPr>
              <w:t>（</w:t>
            </w:r>
            <w:r>
              <w:rPr>
                <w:rFonts w:ascii="Times New Roman Regular" w:hAnsi="Times New Roman Regular" w:cs="Times New Roman Regular"/>
                <w:sz w:val="20"/>
              </w:rPr>
              <w:t>如上下关系、支撑关系、遮挡关系、铰链关系等</w:t>
            </w:r>
            <w:r>
              <w:rPr>
                <w:rFonts w:hint="eastAsia" w:ascii="Times New Roman Regular" w:hAnsi="Times New Roman Regular" w:cs="Times New Roman Regular"/>
                <w:sz w:val="20"/>
              </w:rPr>
              <w:t>）</w:t>
            </w:r>
            <w:r>
              <w:rPr>
                <w:rFonts w:ascii="Times New Roman Regular" w:hAnsi="Times New Roman Regular" w:cs="Times New Roman Regular"/>
                <w:sz w:val="20"/>
              </w:rPr>
              <w:t>。</w:t>
            </w:r>
          </w:p>
        </w:tc>
      </w:tr>
      <w:tr w14:paraId="35AD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continue"/>
          </w:tcPr>
          <w:p w14:paraId="53BFCEA3">
            <w:pPr>
              <w:jc w:val="left"/>
              <w:rPr>
                <w:rFonts w:ascii="Times New Roman Regular" w:hAnsi="Times New Roman Regular" w:cs="Times New Roman Regular"/>
                <w:sz w:val="20"/>
              </w:rPr>
            </w:pPr>
          </w:p>
        </w:tc>
        <w:tc>
          <w:tcPr>
            <w:tcW w:w="1060" w:type="dxa"/>
          </w:tcPr>
          <w:p w14:paraId="199BA498">
            <w:pPr>
              <w:jc w:val="left"/>
              <w:rPr>
                <w:rFonts w:ascii="Times New Roman Regular" w:hAnsi="Times New Roman Regular" w:cs="Times New Roman Regular"/>
                <w:sz w:val="20"/>
              </w:rPr>
            </w:pPr>
            <w:r>
              <w:rPr>
                <w:rFonts w:ascii="Times New Roman Regular" w:hAnsi="Times New Roman Regular" w:cs="Times New Roman Regular"/>
                <w:sz w:val="20"/>
              </w:rPr>
              <w:t>视觉语言联合解译</w:t>
            </w:r>
          </w:p>
        </w:tc>
        <w:tc>
          <w:tcPr>
            <w:tcW w:w="2693" w:type="dxa"/>
          </w:tcPr>
          <w:p w14:paraId="7FBAC584">
            <w:pPr>
              <w:jc w:val="left"/>
              <w:rPr>
                <w:rFonts w:ascii="Times New Roman Regular" w:hAnsi="Times New Roman Regular" w:cs="Times New Roman Regular"/>
                <w:sz w:val="20"/>
              </w:rPr>
            </w:pPr>
            <w:r>
              <w:rPr>
                <w:rFonts w:ascii="Times New Roman Regular" w:hAnsi="Times New Roman Regular" w:cs="Times New Roman Regular"/>
                <w:sz w:val="20"/>
              </w:rPr>
              <w:t>模型能</w:t>
            </w:r>
            <w:r>
              <w:rPr>
                <w:rFonts w:hint="eastAsia" w:ascii="Times New Roman Regular" w:hAnsi="Times New Roman Regular" w:cs="Times New Roman Regular"/>
                <w:sz w:val="20"/>
              </w:rPr>
              <w:t>从提取图像中的文字，并联系图像与</w:t>
            </w:r>
            <w:r>
              <w:rPr>
                <w:rFonts w:ascii="Times New Roman Regular" w:hAnsi="Times New Roman Regular" w:cs="Times New Roman Regular"/>
                <w:sz w:val="20"/>
              </w:rPr>
              <w:t>文本内容</w:t>
            </w:r>
            <w:r>
              <w:rPr>
                <w:rFonts w:hint="eastAsia" w:ascii="Times New Roman Regular" w:hAnsi="Times New Roman Regular" w:cs="Times New Roman Regular"/>
                <w:sz w:val="20"/>
              </w:rPr>
              <w:t>进行</w:t>
            </w:r>
            <w:r>
              <w:rPr>
                <w:rFonts w:ascii="Times New Roman Regular" w:hAnsi="Times New Roman Regular" w:cs="Times New Roman Regular"/>
                <w:sz w:val="20"/>
              </w:rPr>
              <w:t>深入理解和分析。</w:t>
            </w:r>
          </w:p>
        </w:tc>
        <w:tc>
          <w:tcPr>
            <w:tcW w:w="3544" w:type="dxa"/>
          </w:tcPr>
          <w:p w14:paraId="607EA89B">
            <w:pPr>
              <w:jc w:val="left"/>
              <w:rPr>
                <w:rFonts w:ascii="Times New Roman Regular" w:hAnsi="Times New Roman Regular" w:cs="Times New Roman Regular"/>
                <w:sz w:val="20"/>
              </w:rPr>
            </w:pPr>
            <w:r>
              <w:rPr>
                <w:rFonts w:ascii="Times New Roman Regular" w:hAnsi="Times New Roman Regular" w:cs="Times New Roman Regular"/>
                <w:sz w:val="20"/>
              </w:rPr>
              <w:t>提取图像文字、回答关于图像的文本问题、文档理解</w:t>
            </w:r>
            <w:r>
              <w:rPr>
                <w:rFonts w:hint="eastAsia" w:ascii="Times New Roman Regular" w:hAnsi="Times New Roman Regular" w:cs="Times New Roman Regular"/>
                <w:sz w:val="20"/>
              </w:rPr>
              <w:t>。</w:t>
            </w:r>
          </w:p>
        </w:tc>
      </w:tr>
      <w:tr w14:paraId="1A96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continue"/>
          </w:tcPr>
          <w:p w14:paraId="2AF57E45">
            <w:pPr>
              <w:jc w:val="left"/>
              <w:rPr>
                <w:rFonts w:ascii="Times New Roman Regular" w:hAnsi="Times New Roman Regular" w:cs="Times New Roman Regular"/>
                <w:sz w:val="20"/>
              </w:rPr>
            </w:pPr>
          </w:p>
        </w:tc>
        <w:tc>
          <w:tcPr>
            <w:tcW w:w="1060" w:type="dxa"/>
          </w:tcPr>
          <w:p w14:paraId="1CABA957">
            <w:pPr>
              <w:jc w:val="left"/>
              <w:rPr>
                <w:rFonts w:ascii="Times New Roman Regular" w:hAnsi="Times New Roman Regular" w:cs="Times New Roman Regular"/>
                <w:sz w:val="20"/>
              </w:rPr>
            </w:pPr>
            <w:r>
              <w:rPr>
                <w:rFonts w:ascii="Times New Roman Regular" w:hAnsi="Times New Roman Regular" w:cs="Times New Roman Regular"/>
                <w:sz w:val="20"/>
              </w:rPr>
              <w:t>状态理解</w:t>
            </w:r>
          </w:p>
        </w:tc>
        <w:tc>
          <w:tcPr>
            <w:tcW w:w="2693" w:type="dxa"/>
          </w:tcPr>
          <w:p w14:paraId="67CDBE16">
            <w:pPr>
              <w:jc w:val="left"/>
              <w:rPr>
                <w:rFonts w:ascii="Times New Roman Regular" w:hAnsi="Times New Roman Regular" w:cs="Times New Roman Regular"/>
                <w:sz w:val="20"/>
              </w:rPr>
            </w:pPr>
            <w:r>
              <w:rPr>
                <w:rFonts w:ascii="Times New Roman Regular" w:hAnsi="Times New Roman Regular" w:cs="Times New Roman Regular"/>
                <w:sz w:val="20"/>
              </w:rPr>
              <w:t>理解自身状态，以及环境的物理状态、属性或变化。</w:t>
            </w:r>
          </w:p>
        </w:tc>
        <w:tc>
          <w:tcPr>
            <w:tcW w:w="3544" w:type="dxa"/>
          </w:tcPr>
          <w:p w14:paraId="07495005">
            <w:pPr>
              <w:jc w:val="left"/>
              <w:rPr>
                <w:rFonts w:ascii="Times New Roman Regular" w:hAnsi="Times New Roman Regular" w:cs="Times New Roman Regular"/>
                <w:sz w:val="20"/>
              </w:rPr>
            </w:pPr>
            <w:r>
              <w:rPr>
                <w:rFonts w:ascii="Times New Roman Regular" w:hAnsi="Times New Roman Regular" w:cs="Times New Roman Regular"/>
                <w:sz w:val="20"/>
              </w:rPr>
              <w:t>分析自身属性状态，判断物体材质、老化、损坏状态等。</w:t>
            </w:r>
          </w:p>
        </w:tc>
      </w:tr>
      <w:tr w14:paraId="23C6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continue"/>
          </w:tcPr>
          <w:p w14:paraId="3B55A108">
            <w:pPr>
              <w:jc w:val="left"/>
              <w:rPr>
                <w:rFonts w:ascii="Times New Roman Regular" w:hAnsi="Times New Roman Regular" w:cs="Times New Roman Regular"/>
                <w:sz w:val="20"/>
              </w:rPr>
            </w:pPr>
          </w:p>
        </w:tc>
        <w:tc>
          <w:tcPr>
            <w:tcW w:w="1060" w:type="dxa"/>
          </w:tcPr>
          <w:p w14:paraId="67E21553">
            <w:pPr>
              <w:jc w:val="left"/>
              <w:rPr>
                <w:rFonts w:ascii="Times New Roman Regular" w:hAnsi="Times New Roman Regular" w:cs="Times New Roman Regular"/>
                <w:sz w:val="20"/>
              </w:rPr>
            </w:pPr>
            <w:r>
              <w:rPr>
                <w:rFonts w:ascii="Times New Roman Regular" w:hAnsi="Times New Roman Regular" w:cs="Times New Roman Regular"/>
                <w:color w:val="000000"/>
                <w:sz w:val="20"/>
              </w:rPr>
              <w:t>视觉常识理解</w:t>
            </w:r>
          </w:p>
        </w:tc>
        <w:tc>
          <w:tcPr>
            <w:tcW w:w="2693" w:type="dxa"/>
          </w:tcPr>
          <w:p w14:paraId="3430D8B0">
            <w:pPr>
              <w:jc w:val="left"/>
              <w:rPr>
                <w:rFonts w:ascii="Times New Roman Regular" w:hAnsi="Times New Roman Regular" w:cs="Times New Roman Regular"/>
                <w:sz w:val="20"/>
              </w:rPr>
            </w:pPr>
            <w:r>
              <w:rPr>
                <w:rFonts w:ascii="Times New Roman Regular" w:hAnsi="Times New Roman Regular" w:cs="Times New Roman Regular"/>
                <w:color w:val="000000"/>
                <w:sz w:val="20"/>
              </w:rPr>
              <w:t>实现对常见的基本物理常识、社会常识的理解。</w:t>
            </w:r>
            <w:r>
              <w:rPr>
                <w:rFonts w:hint="eastAsia" w:ascii="Times New Roman Regular" w:hAnsi="Times New Roman Regular" w:cs="Times New Roman Regular"/>
                <w:color w:val="000000"/>
                <w:sz w:val="20"/>
              </w:rPr>
              <w:t>物理常识包括基本的物理规律，社会常识包括社会规范、社交规则等。</w:t>
            </w:r>
          </w:p>
        </w:tc>
        <w:tc>
          <w:tcPr>
            <w:tcW w:w="3544" w:type="dxa"/>
          </w:tcPr>
          <w:p w14:paraId="0FF539DD">
            <w:pPr>
              <w:jc w:val="left"/>
              <w:rPr>
                <w:rFonts w:ascii="Times New Roman Regular" w:hAnsi="Times New Roman Regular" w:cs="Times New Roman Regular"/>
                <w:sz w:val="20"/>
              </w:rPr>
            </w:pPr>
            <w:r>
              <w:rPr>
                <w:rFonts w:hint="eastAsia" w:ascii="Times New Roman Regular" w:hAnsi="Times New Roman Regular" w:cs="Times New Roman Regular"/>
                <w:sz w:val="20"/>
              </w:rPr>
              <w:t>理解物体持久性（物品遮挡后依然存在）；理解重力与稳定性（如，积木堆叠的合理性）；理解材质交互规律（如，水杯打翻后液体流动）；理解因果关系。理解社交的基本规范；理解基础的文化符号（如，白色在西方是婚纱，在东方可能象征丧葬）。</w:t>
            </w:r>
          </w:p>
        </w:tc>
      </w:tr>
      <w:tr w14:paraId="160C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restart"/>
          </w:tcPr>
          <w:p w14:paraId="702E302B">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动态视觉理解</w:t>
            </w:r>
          </w:p>
        </w:tc>
        <w:tc>
          <w:tcPr>
            <w:tcW w:w="1060" w:type="dxa"/>
          </w:tcPr>
          <w:p w14:paraId="3D69EB17">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事件理解</w:t>
            </w:r>
          </w:p>
        </w:tc>
        <w:tc>
          <w:tcPr>
            <w:tcW w:w="2693" w:type="dxa"/>
          </w:tcPr>
          <w:p w14:paraId="26BEC4A5">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识别或预测图像</w:t>
            </w:r>
            <w:r>
              <w:rPr>
                <w:rFonts w:hint="eastAsia" w:ascii="Times New Roman Regular" w:hAnsi="Times New Roman Regular" w:cs="Times New Roman Regular"/>
                <w:color w:val="000000"/>
                <w:sz w:val="20"/>
              </w:rPr>
              <w:t>或</w:t>
            </w:r>
            <w:r>
              <w:rPr>
                <w:rFonts w:ascii="Times New Roman Regular" w:hAnsi="Times New Roman Regular" w:cs="Times New Roman Regular"/>
                <w:color w:val="000000"/>
                <w:sz w:val="20"/>
              </w:rPr>
              <w:t>视频中的事件或动态变化。</w:t>
            </w:r>
          </w:p>
        </w:tc>
        <w:tc>
          <w:tcPr>
            <w:tcW w:w="3544" w:type="dxa"/>
          </w:tcPr>
          <w:p w14:paraId="06699793">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基于视频理解事件，时序动作定位。</w:t>
            </w:r>
          </w:p>
        </w:tc>
      </w:tr>
      <w:tr w14:paraId="3122F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2" w:type="dxa"/>
            <w:vMerge w:val="continue"/>
          </w:tcPr>
          <w:p w14:paraId="3E1E8CD0">
            <w:pPr>
              <w:jc w:val="left"/>
              <w:rPr>
                <w:rFonts w:ascii="Times New Roman Regular" w:hAnsi="Times New Roman Regular" w:cs="Times New Roman Regular"/>
                <w:color w:val="000000"/>
                <w:sz w:val="20"/>
              </w:rPr>
            </w:pPr>
          </w:p>
        </w:tc>
        <w:tc>
          <w:tcPr>
            <w:tcW w:w="1060" w:type="dxa"/>
          </w:tcPr>
          <w:p w14:paraId="79770DA7">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行为意图理解</w:t>
            </w:r>
          </w:p>
        </w:tc>
        <w:tc>
          <w:tcPr>
            <w:tcW w:w="2693" w:type="dxa"/>
          </w:tcPr>
          <w:p w14:paraId="1D6A4F26">
            <w:pPr>
              <w:jc w:val="left"/>
              <w:rPr>
                <w:rFonts w:ascii="Times New Roman Regular" w:hAnsi="Times New Roman Regular" w:cs="Times New Roman Regular"/>
              </w:rPr>
            </w:pPr>
            <w:r>
              <w:rPr>
                <w:rFonts w:ascii="Times New Roman Regular" w:hAnsi="Times New Roman Regular" w:cs="Times New Roman Regular"/>
                <w:color w:val="000000"/>
                <w:sz w:val="20"/>
              </w:rPr>
              <w:t>能识别图像</w:t>
            </w:r>
            <w:r>
              <w:rPr>
                <w:rFonts w:hint="eastAsia" w:ascii="Times New Roman Regular" w:hAnsi="Times New Roman Regular" w:cs="Times New Roman Regular"/>
                <w:color w:val="000000"/>
                <w:sz w:val="20"/>
              </w:rPr>
              <w:t>或</w:t>
            </w:r>
            <w:r>
              <w:rPr>
                <w:rFonts w:ascii="Times New Roman Regular" w:hAnsi="Times New Roman Regular" w:cs="Times New Roman Regular"/>
                <w:color w:val="000000"/>
                <w:sz w:val="20"/>
              </w:rPr>
              <w:t>视频中人体</w:t>
            </w:r>
            <w:r>
              <w:rPr>
                <w:rFonts w:hint="eastAsia" w:ascii="Times New Roman Regular" w:hAnsi="Times New Roman Regular" w:cs="Times New Roman Regular"/>
                <w:color w:val="000000"/>
                <w:sz w:val="20"/>
              </w:rPr>
              <w:t>的</w:t>
            </w:r>
            <w:r>
              <w:rPr>
                <w:rFonts w:ascii="Times New Roman Regular" w:hAnsi="Times New Roman Regular" w:cs="Times New Roman Regular"/>
                <w:color w:val="000000"/>
                <w:sz w:val="20"/>
              </w:rPr>
              <w:t>动作。</w:t>
            </w:r>
            <w:r>
              <w:rPr>
                <w:rFonts w:ascii="Times New Roman Regular" w:hAnsi="Times New Roman Regular" w:cs="Times New Roman Regular"/>
                <w:sz w:val="20"/>
              </w:rPr>
              <w:t>推断人或智能体的目标、动机或交互意图。</w:t>
            </w:r>
          </w:p>
        </w:tc>
        <w:tc>
          <w:tcPr>
            <w:tcW w:w="3544" w:type="dxa"/>
          </w:tcPr>
          <w:p w14:paraId="78987649">
            <w:pPr>
              <w:jc w:val="left"/>
              <w:rPr>
                <w:rFonts w:ascii="Times New Roman Regular" w:hAnsi="Times New Roman Regular" w:cs="Times New Roman Regular"/>
              </w:rPr>
            </w:pPr>
            <w:r>
              <w:rPr>
                <w:rFonts w:ascii="Times New Roman Regular" w:hAnsi="Times New Roman Regular" w:cs="Times New Roman Regular"/>
                <w:color w:val="000000"/>
                <w:sz w:val="20"/>
              </w:rPr>
              <w:t>识别视频中人体动作，如行走、跳跃、弯腰等</w:t>
            </w:r>
            <w:r>
              <w:rPr>
                <w:rFonts w:hint="eastAsia" w:ascii="Times New Roman Regular" w:hAnsi="Times New Roman Regular" w:cs="Times New Roman Regular"/>
                <w:color w:val="000000"/>
                <w:sz w:val="20"/>
              </w:rPr>
              <w:t>；</w:t>
            </w:r>
            <w:r>
              <w:rPr>
                <w:rFonts w:ascii="Times New Roman Regular" w:hAnsi="Times New Roman Regular" w:cs="Times New Roman Regular"/>
                <w:color w:val="000000"/>
                <w:sz w:val="20"/>
              </w:rPr>
              <w:t>理解复杂人体行为，如打架、跌倒等</w:t>
            </w:r>
            <w:r>
              <w:rPr>
                <w:rFonts w:hint="eastAsia" w:ascii="Times New Roman Regular" w:hAnsi="Times New Roman Regular" w:cs="Times New Roman Regular"/>
                <w:color w:val="000000"/>
                <w:sz w:val="20"/>
              </w:rPr>
              <w:t>；预测</w:t>
            </w:r>
            <w:r>
              <w:rPr>
                <w:rFonts w:ascii="Times New Roman Regular" w:hAnsi="Times New Roman Regular" w:cs="Times New Roman Regular"/>
                <w:sz w:val="20"/>
              </w:rPr>
              <w:t>人类意图，</w:t>
            </w:r>
            <w:r>
              <w:rPr>
                <w:rFonts w:hint="eastAsia" w:ascii="Times New Roman Regular" w:hAnsi="Times New Roman Regular" w:cs="Times New Roman Regular"/>
                <w:sz w:val="20"/>
              </w:rPr>
              <w:t>识别</w:t>
            </w:r>
            <w:r>
              <w:rPr>
                <w:rFonts w:ascii="Times New Roman Regular" w:hAnsi="Times New Roman Regular" w:cs="Times New Roman Regular"/>
                <w:sz w:val="20"/>
              </w:rPr>
              <w:t>人机交互意图。</w:t>
            </w:r>
          </w:p>
        </w:tc>
      </w:tr>
      <w:tr w14:paraId="569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62" w:type="dxa"/>
            <w:vMerge w:val="continue"/>
          </w:tcPr>
          <w:p w14:paraId="3AB8B063">
            <w:pPr>
              <w:jc w:val="left"/>
              <w:rPr>
                <w:rFonts w:ascii="Times New Roman Regular" w:hAnsi="Times New Roman Regular" w:cs="Times New Roman Regular"/>
                <w:color w:val="000000"/>
                <w:sz w:val="20"/>
              </w:rPr>
            </w:pPr>
          </w:p>
        </w:tc>
        <w:tc>
          <w:tcPr>
            <w:tcW w:w="1060" w:type="dxa"/>
          </w:tcPr>
          <w:p w14:paraId="6B835A6D">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情绪理解</w:t>
            </w:r>
          </w:p>
        </w:tc>
        <w:tc>
          <w:tcPr>
            <w:tcW w:w="2693" w:type="dxa"/>
          </w:tcPr>
          <w:p w14:paraId="4E6D3DE4">
            <w:pPr>
              <w:jc w:val="left"/>
              <w:rPr>
                <w:rFonts w:ascii="Times New Roman Regular" w:hAnsi="Times New Roman Regular" w:cs="Times New Roman Regular"/>
                <w:color w:val="000000"/>
                <w:sz w:val="20"/>
              </w:rPr>
            </w:pPr>
            <w:r>
              <w:rPr>
                <w:rFonts w:ascii="Times New Roman Regular" w:hAnsi="Times New Roman Regular" w:cs="Times New Roman Regular"/>
                <w:sz w:val="20"/>
              </w:rPr>
              <w:t>识别人脸表情或情绪状态。</w:t>
            </w:r>
          </w:p>
        </w:tc>
        <w:tc>
          <w:tcPr>
            <w:tcW w:w="3544" w:type="dxa"/>
          </w:tcPr>
          <w:p w14:paraId="1D7975C2">
            <w:pPr>
              <w:jc w:val="left"/>
              <w:rPr>
                <w:rFonts w:ascii="Times New Roman Regular" w:hAnsi="Times New Roman Regular" w:cs="Times New Roman Regular"/>
                <w:color w:val="000000"/>
                <w:sz w:val="20"/>
              </w:rPr>
            </w:pPr>
            <w:r>
              <w:rPr>
                <w:rFonts w:ascii="Times New Roman Regular" w:hAnsi="Times New Roman Regular" w:cs="Times New Roman Regular"/>
                <w:color w:val="000000"/>
                <w:sz w:val="20"/>
              </w:rPr>
              <w:t>表情识别、情绪分析和微表情理解。</w:t>
            </w:r>
          </w:p>
        </w:tc>
      </w:tr>
    </w:tbl>
    <w:p w14:paraId="5CB9810E">
      <w:pPr>
        <w:pStyle w:val="27"/>
        <w:ind w:left="0" w:leftChars="0" w:firstLine="0" w:firstLineChars="0"/>
      </w:pPr>
    </w:p>
    <w:p w14:paraId="2500D372">
      <w:pPr>
        <w:pStyle w:val="31"/>
        <w:numPr>
          <w:ilvl w:val="0"/>
          <w:numId w:val="0"/>
        </w:numPr>
        <w:spacing w:before="156" w:beforeLines="50" w:after="156" w:afterLines="50"/>
      </w:pPr>
      <w:bookmarkStart w:id="44" w:name="_Toc205400295"/>
      <w:r>
        <w:rPr>
          <w:rFonts w:hint="eastAsia"/>
        </w:rPr>
        <w:t>5.2　客体属性及关系理解</w:t>
      </w:r>
      <w:bookmarkEnd w:id="44"/>
    </w:p>
    <w:p w14:paraId="0A28C087">
      <w:pPr>
        <w:ind w:firstLine="420" w:firstLineChars="200"/>
        <w:jc w:val="left"/>
        <w:rPr>
          <w:rFonts w:ascii="宋体" w:hAnsi="宋体" w:cs="宋体"/>
          <w:szCs w:val="21"/>
        </w:rPr>
      </w:pPr>
      <w:r>
        <w:rPr>
          <w:rFonts w:hint="eastAsia" w:ascii="宋体" w:hAnsi="宋体" w:cs="宋体"/>
          <w:szCs w:val="21"/>
        </w:rPr>
        <w:t>测试客体属性及关系理解能力，指测试AGI识别图像中物体的属性（如颜色、形状、材质）及物体间的空间、逻辑关系的能力，包含但不限于以下能力：</w:t>
      </w:r>
    </w:p>
    <w:p w14:paraId="2E9277D1">
      <w:pPr>
        <w:ind w:firstLine="420" w:firstLineChars="200"/>
        <w:jc w:val="left"/>
        <w:rPr>
          <w:rFonts w:ascii="宋体" w:hAnsi="宋体" w:cs="宋体"/>
          <w:szCs w:val="21"/>
        </w:rPr>
      </w:pPr>
      <w:r>
        <w:rPr>
          <w:rFonts w:hint="eastAsia" w:ascii="宋体" w:hAnsi="宋体" w:cs="宋体"/>
          <w:szCs w:val="21"/>
        </w:rPr>
        <w:t>a）属性识别：检测物体的物理或抽象特征，包含图像深度估计、空间结构理解、三维形状理解等；</w:t>
      </w:r>
    </w:p>
    <w:p w14:paraId="6627848E">
      <w:pPr>
        <w:ind w:firstLine="420" w:firstLineChars="200"/>
        <w:jc w:val="left"/>
        <w:rPr>
          <w:rFonts w:ascii="宋体" w:hAnsi="宋体" w:cs="宋体"/>
          <w:szCs w:val="21"/>
        </w:rPr>
      </w:pPr>
      <w:r>
        <w:rPr>
          <w:rFonts w:hint="eastAsia" w:ascii="宋体" w:hAnsi="宋体" w:cs="宋体"/>
          <w:szCs w:val="21"/>
        </w:rPr>
        <w:t>b）关系推理：判断物体间的相对位置、归属关系或比较关系。</w:t>
      </w:r>
    </w:p>
    <w:p w14:paraId="5CF4F9C2">
      <w:pPr>
        <w:pStyle w:val="31"/>
        <w:numPr>
          <w:ilvl w:val="0"/>
          <w:numId w:val="0"/>
        </w:numPr>
        <w:spacing w:before="156" w:beforeLines="50" w:after="156" w:afterLines="50"/>
      </w:pPr>
      <w:bookmarkStart w:id="45" w:name="_Toc205400296"/>
      <w:r>
        <w:rPr>
          <w:rFonts w:hint="eastAsia"/>
        </w:rPr>
        <w:t>5.3　视觉语言联合解译</w:t>
      </w:r>
      <w:bookmarkEnd w:id="45"/>
      <w:r>
        <w:rPr>
          <w:rFonts w:hint="eastAsia"/>
        </w:rPr>
        <w:t>理解</w:t>
      </w:r>
    </w:p>
    <w:p w14:paraId="4E5AF986">
      <w:pPr>
        <w:ind w:firstLine="420" w:firstLineChars="200"/>
        <w:jc w:val="left"/>
        <w:rPr>
          <w:rFonts w:ascii="宋体" w:hAnsi="宋体" w:cs="宋体"/>
          <w:szCs w:val="21"/>
        </w:rPr>
      </w:pPr>
      <w:r>
        <w:rPr>
          <w:rFonts w:hint="eastAsia" w:ascii="宋体" w:hAnsi="宋体" w:cs="宋体"/>
          <w:szCs w:val="21"/>
        </w:rPr>
        <w:t>测试视觉语言联合解译能力，指测试AGI结合视觉与文本信息进行跨模态推理的能力，包含但不限于以下能力：</w:t>
      </w:r>
    </w:p>
    <w:p w14:paraId="4A4F3E52">
      <w:pPr>
        <w:ind w:firstLine="400"/>
        <w:jc w:val="left"/>
        <w:rPr>
          <w:rFonts w:ascii="宋体" w:hAnsi="宋体" w:cs="宋体"/>
          <w:szCs w:val="21"/>
        </w:rPr>
      </w:pPr>
      <w:r>
        <w:rPr>
          <w:rFonts w:hint="eastAsia" w:ascii="宋体" w:hAnsi="宋体" w:cs="宋体"/>
          <w:szCs w:val="21"/>
        </w:rPr>
        <w:t>a）图文匹配：判断文本描述是否与图像内容一致；</w:t>
      </w:r>
    </w:p>
    <w:p w14:paraId="2C67CDF5">
      <w:pPr>
        <w:ind w:firstLine="400"/>
        <w:jc w:val="left"/>
        <w:rPr>
          <w:rFonts w:ascii="宋体" w:hAnsi="宋体" w:cs="宋体"/>
          <w:szCs w:val="21"/>
        </w:rPr>
      </w:pPr>
      <w:r>
        <w:rPr>
          <w:rFonts w:hint="eastAsia" w:ascii="宋体" w:hAnsi="宋体" w:cs="宋体"/>
          <w:szCs w:val="21"/>
        </w:rPr>
        <w:t>b）视觉问答：回答基于图像内容的提问；</w:t>
      </w:r>
    </w:p>
    <w:p w14:paraId="107DC575">
      <w:pPr>
        <w:pStyle w:val="27"/>
        <w:ind w:left="0" w:leftChars="0"/>
        <w:rPr>
          <w:rFonts w:hAnsi="宋体" w:cs="宋体"/>
        </w:rPr>
      </w:pPr>
      <w:r>
        <w:rPr>
          <w:rFonts w:hint="eastAsia" w:hAnsi="宋体" w:cs="宋体"/>
          <w:szCs w:val="21"/>
        </w:rPr>
        <w:t>c）指代消解：关联文本中的代词或抽象表述到图像中的具体区域。</w:t>
      </w:r>
    </w:p>
    <w:p w14:paraId="795B4688">
      <w:pPr>
        <w:pStyle w:val="31"/>
        <w:numPr>
          <w:ilvl w:val="0"/>
          <w:numId w:val="0"/>
        </w:numPr>
        <w:spacing w:before="156" w:beforeLines="50" w:after="156" w:afterLines="50"/>
      </w:pPr>
      <w:bookmarkStart w:id="46" w:name="_Toc205400297"/>
      <w:r>
        <w:rPr>
          <w:rFonts w:hint="eastAsia"/>
        </w:rPr>
        <w:t>5.4　状态理解</w:t>
      </w:r>
      <w:bookmarkEnd w:id="46"/>
    </w:p>
    <w:p w14:paraId="04E5ED11">
      <w:pPr>
        <w:ind w:firstLine="420" w:firstLineChars="200"/>
        <w:jc w:val="left"/>
        <w:rPr>
          <w:rFonts w:ascii="宋体" w:hAnsi="宋体" w:cs="宋体"/>
          <w:szCs w:val="21"/>
        </w:rPr>
      </w:pPr>
      <w:r>
        <w:rPr>
          <w:rFonts w:hint="eastAsia" w:ascii="宋体" w:hAnsi="宋体" w:cs="宋体"/>
          <w:szCs w:val="21"/>
        </w:rPr>
        <w:t>测试AGI的状态理解能力，指测试AGI识别物体或场景的瞬时状态或条件的能力，包含但不限于以下能力：</w:t>
      </w:r>
    </w:p>
    <w:p w14:paraId="454AA629">
      <w:pPr>
        <w:ind w:firstLine="400"/>
        <w:jc w:val="left"/>
        <w:rPr>
          <w:rFonts w:ascii="宋体" w:hAnsi="宋体" w:cs="宋体"/>
          <w:szCs w:val="21"/>
        </w:rPr>
      </w:pPr>
      <w:r>
        <w:rPr>
          <w:rFonts w:hint="eastAsia" w:ascii="宋体" w:hAnsi="宋体" w:cs="宋体"/>
          <w:szCs w:val="21"/>
        </w:rPr>
        <w:t>a）物理状态判断：分析并准确判断物体的状态，如可操作性、完整性、开关状态、物理状态；</w:t>
      </w:r>
    </w:p>
    <w:p w14:paraId="376BDE80">
      <w:pPr>
        <w:ind w:firstLine="400"/>
        <w:jc w:val="left"/>
        <w:rPr>
          <w:rFonts w:ascii="宋体" w:hAnsi="宋体" w:cs="宋体"/>
          <w:szCs w:val="21"/>
        </w:rPr>
      </w:pPr>
      <w:r>
        <w:rPr>
          <w:rFonts w:hint="eastAsia" w:ascii="宋体" w:hAnsi="宋体" w:cs="宋体"/>
          <w:szCs w:val="21"/>
        </w:rPr>
        <w:t>b）场景状态推断：判断环境的物理、社会属性，如整洁度、空间大小；</w:t>
      </w:r>
    </w:p>
    <w:p w14:paraId="668136AD">
      <w:pPr>
        <w:ind w:firstLine="400"/>
        <w:jc w:val="left"/>
        <w:rPr>
          <w:rFonts w:ascii="宋体" w:hAnsi="宋体" w:cs="宋体"/>
          <w:szCs w:val="21"/>
        </w:rPr>
      </w:pPr>
      <w:r>
        <w:rPr>
          <w:rFonts w:hint="eastAsia" w:ascii="宋体" w:hAnsi="宋体" w:cs="宋体"/>
          <w:szCs w:val="21"/>
        </w:rPr>
        <w:t>c）自身状态理解：判断智能体自身的属性、特征、状态。</w:t>
      </w:r>
    </w:p>
    <w:p w14:paraId="0B9238C5">
      <w:pPr>
        <w:pStyle w:val="31"/>
        <w:numPr>
          <w:ilvl w:val="0"/>
          <w:numId w:val="0"/>
        </w:numPr>
        <w:spacing w:before="156" w:beforeLines="50" w:after="156" w:afterLines="50"/>
      </w:pPr>
      <w:bookmarkStart w:id="47" w:name="_Toc205400298"/>
      <w:r>
        <w:rPr>
          <w:rFonts w:hint="eastAsia"/>
        </w:rPr>
        <w:t>5.5　视觉常识理解</w:t>
      </w:r>
      <w:bookmarkEnd w:id="47"/>
    </w:p>
    <w:p w14:paraId="0A9F2F25">
      <w:pPr>
        <w:ind w:firstLine="420" w:firstLineChars="200"/>
        <w:jc w:val="left"/>
        <w:rPr>
          <w:rFonts w:ascii="Times New Roman Regular" w:hAnsi="Times New Roman Regular" w:cs="Times New Roman Regular"/>
          <w:szCs w:val="21"/>
        </w:rPr>
      </w:pPr>
      <w:r>
        <w:rPr>
          <w:rFonts w:ascii="Times New Roman Regular" w:hAnsi="Times New Roman Regular" w:cs="Times New Roman Regular"/>
          <w:szCs w:val="21"/>
        </w:rPr>
        <w:t>测试AGI的</w:t>
      </w:r>
      <w:r>
        <w:rPr>
          <w:rFonts w:hint="eastAsia" w:ascii="Times New Roman Regular" w:hAnsi="Times New Roman Regular" w:cs="Times New Roman Regular"/>
          <w:szCs w:val="21"/>
        </w:rPr>
        <w:t>视觉常识</w:t>
      </w:r>
      <w:r>
        <w:rPr>
          <w:rFonts w:ascii="Times New Roman Regular" w:hAnsi="Times New Roman Regular" w:cs="Times New Roman Regular"/>
          <w:szCs w:val="21"/>
        </w:rPr>
        <w:t>理解能力</w:t>
      </w:r>
      <w:r>
        <w:rPr>
          <w:rFonts w:hint="eastAsia" w:ascii="Times New Roman Regular" w:hAnsi="Times New Roman Regular" w:cs="Times New Roman Regular"/>
          <w:szCs w:val="21"/>
        </w:rPr>
        <w:t>，</w:t>
      </w:r>
      <w:r>
        <w:rPr>
          <w:rFonts w:ascii="Times New Roman Regular" w:hAnsi="Times New Roman Regular" w:cs="Times New Roman Regular"/>
          <w:szCs w:val="21"/>
        </w:rPr>
        <w:t>指测试AGI基于常识对视觉内容进行合理推断</w:t>
      </w:r>
      <w:r>
        <w:rPr>
          <w:rFonts w:hint="eastAsia" w:ascii="Times New Roman Regular" w:hAnsi="Times New Roman Regular" w:cs="Times New Roman Regular"/>
          <w:szCs w:val="21"/>
        </w:rPr>
        <w:t>的能力</w:t>
      </w:r>
      <w:r>
        <w:rPr>
          <w:rFonts w:ascii="Times New Roman Regular" w:hAnsi="Times New Roman Regular" w:cs="Times New Roman Regular"/>
          <w:szCs w:val="21"/>
        </w:rPr>
        <w:t>，包含但不限于以下能力</w:t>
      </w:r>
      <w:r>
        <w:rPr>
          <w:rFonts w:hint="eastAsia" w:ascii="Times New Roman Regular" w:hAnsi="Times New Roman Regular" w:cs="Times New Roman Regular"/>
          <w:szCs w:val="21"/>
        </w:rPr>
        <w:t>：</w:t>
      </w:r>
    </w:p>
    <w:p w14:paraId="03952439">
      <w:pPr>
        <w:ind w:firstLine="400"/>
        <w:jc w:val="left"/>
        <w:rPr>
          <w:rFonts w:ascii="Times New Roman Regular" w:hAnsi="Times New Roman Regular" w:cs="Times New Roman Regular"/>
          <w:szCs w:val="21"/>
        </w:rPr>
      </w:pPr>
      <w:r>
        <w:rPr>
          <w:rFonts w:hint="eastAsia" w:ascii="Times New Roman Regular" w:hAnsi="Times New Roman Regular" w:cs="Times New Roman Regular"/>
          <w:szCs w:val="21"/>
        </w:rPr>
        <w:t>a</w:t>
      </w:r>
      <w:r>
        <w:rPr>
          <w:rFonts w:ascii="Times New Roman Regular" w:hAnsi="Times New Roman Regular" w:cs="Times New Roman Regular"/>
          <w:szCs w:val="21"/>
        </w:rPr>
        <w:t>）隐含信息推理：推测图像中未直接呈现的信息</w:t>
      </w:r>
      <w:r>
        <w:rPr>
          <w:rFonts w:hint="eastAsia" w:ascii="Times New Roman Regular" w:hAnsi="Times New Roman Regular" w:cs="Times New Roman Regular"/>
          <w:szCs w:val="21"/>
        </w:rPr>
        <w:t>；</w:t>
      </w:r>
    </w:p>
    <w:p w14:paraId="67F31243">
      <w:pPr>
        <w:pStyle w:val="27"/>
        <w:ind w:left="0" w:leftChars="0"/>
      </w:pPr>
      <w:r>
        <w:rPr>
          <w:rFonts w:hint="eastAsia" w:ascii="Times New Roman Regular" w:hAnsi="Times New Roman Regular" w:cs="Times New Roman Regular"/>
          <w:szCs w:val="21"/>
        </w:rPr>
        <w:t>b</w:t>
      </w:r>
      <w:r>
        <w:rPr>
          <w:rFonts w:ascii="Times New Roman Regular" w:hAnsi="Times New Roman Regular" w:cs="Times New Roman Regular"/>
          <w:szCs w:val="21"/>
        </w:rPr>
        <w:t>）反事实推理：预测违反常识的视觉情境。</w:t>
      </w:r>
    </w:p>
    <w:p w14:paraId="63EF5731">
      <w:pPr>
        <w:pStyle w:val="31"/>
        <w:numPr>
          <w:ilvl w:val="0"/>
          <w:numId w:val="0"/>
        </w:numPr>
        <w:spacing w:before="156" w:beforeLines="50" w:after="156" w:afterLines="50"/>
      </w:pPr>
      <w:bookmarkStart w:id="48" w:name="_Toc205400299"/>
      <w:r>
        <w:rPr>
          <w:rFonts w:hint="eastAsia"/>
        </w:rPr>
        <w:t>5.6　事件理解</w:t>
      </w:r>
      <w:bookmarkEnd w:id="48"/>
    </w:p>
    <w:p w14:paraId="48E579C9">
      <w:pPr>
        <w:ind w:firstLine="420" w:firstLineChars="200"/>
        <w:jc w:val="left"/>
        <w:rPr>
          <w:rFonts w:ascii="宋体" w:hAnsi="宋体" w:cs="宋体"/>
          <w:szCs w:val="21"/>
        </w:rPr>
      </w:pPr>
      <w:r>
        <w:rPr>
          <w:rFonts w:hint="eastAsia" w:ascii="宋体" w:hAnsi="宋体" w:cs="宋体"/>
          <w:szCs w:val="21"/>
        </w:rPr>
        <w:t>测试AGI的事件理解能力，指测试AGI识别并解析动态场景中的事件及其结构的能力，包含但不限于以下能力：</w:t>
      </w:r>
    </w:p>
    <w:p w14:paraId="287BB096">
      <w:pPr>
        <w:ind w:firstLine="400"/>
        <w:jc w:val="left"/>
        <w:rPr>
          <w:rFonts w:ascii="宋体" w:hAnsi="宋体" w:cs="宋体"/>
          <w:szCs w:val="21"/>
        </w:rPr>
      </w:pPr>
      <w:r>
        <w:rPr>
          <w:rFonts w:hint="eastAsia" w:ascii="宋体" w:hAnsi="宋体" w:cs="宋体"/>
          <w:szCs w:val="21"/>
        </w:rPr>
        <w:t>a）事件检测：识别定位视频中发生的特定事件；</w:t>
      </w:r>
    </w:p>
    <w:p w14:paraId="4C5400F9">
      <w:pPr>
        <w:ind w:firstLine="400"/>
        <w:jc w:val="left"/>
        <w:rPr>
          <w:rFonts w:ascii="宋体" w:hAnsi="宋体" w:cs="宋体"/>
          <w:szCs w:val="21"/>
        </w:rPr>
      </w:pPr>
      <w:r>
        <w:rPr>
          <w:rFonts w:hint="eastAsia" w:ascii="宋体" w:hAnsi="宋体" w:cs="宋体"/>
          <w:szCs w:val="21"/>
        </w:rPr>
        <w:t>b）时序关系建模：判断多个事件的时间顺序；</w:t>
      </w:r>
    </w:p>
    <w:p w14:paraId="4DCC08AA">
      <w:pPr>
        <w:pStyle w:val="27"/>
        <w:ind w:left="0" w:leftChars="0"/>
        <w:rPr>
          <w:rFonts w:hAnsi="宋体" w:cs="宋体"/>
        </w:rPr>
      </w:pPr>
      <w:r>
        <w:rPr>
          <w:rFonts w:hint="eastAsia" w:hAnsi="宋体" w:cs="宋体"/>
          <w:szCs w:val="21"/>
        </w:rPr>
        <w:t>c）因果推理：分析事件间的因果关系。</w:t>
      </w:r>
    </w:p>
    <w:p w14:paraId="4F3156DC">
      <w:pPr>
        <w:pStyle w:val="31"/>
        <w:numPr>
          <w:ilvl w:val="0"/>
          <w:numId w:val="0"/>
        </w:numPr>
        <w:spacing w:before="156" w:beforeLines="50" w:after="156" w:afterLines="50"/>
      </w:pPr>
      <w:bookmarkStart w:id="49" w:name="_Toc205400300"/>
      <w:r>
        <w:rPr>
          <w:rFonts w:hint="eastAsia"/>
        </w:rPr>
        <w:t>5.7　行为意图理解</w:t>
      </w:r>
      <w:bookmarkEnd w:id="49"/>
    </w:p>
    <w:p w14:paraId="7DB0F4D3">
      <w:pPr>
        <w:ind w:firstLine="420" w:firstLineChars="200"/>
        <w:jc w:val="left"/>
        <w:rPr>
          <w:rFonts w:ascii="宋体" w:hAnsi="宋体" w:cs="宋体"/>
          <w:szCs w:val="21"/>
        </w:rPr>
      </w:pPr>
      <w:r>
        <w:rPr>
          <w:rFonts w:hint="eastAsia" w:ascii="宋体" w:hAnsi="宋体" w:cs="宋体"/>
          <w:szCs w:val="21"/>
        </w:rPr>
        <w:t>测试AGI的行为意图理解能力，指测试家庭环境AGI推断动态场景中主体的目标或动机的能力，包含但不限于以下能力：</w:t>
      </w:r>
    </w:p>
    <w:p w14:paraId="4D26DC10">
      <w:pPr>
        <w:ind w:firstLine="400"/>
        <w:jc w:val="left"/>
        <w:rPr>
          <w:rFonts w:ascii="宋体" w:hAnsi="宋体" w:cs="宋体"/>
          <w:szCs w:val="21"/>
        </w:rPr>
      </w:pPr>
      <w:r>
        <w:rPr>
          <w:rFonts w:hint="eastAsia" w:ascii="宋体" w:hAnsi="宋体" w:cs="宋体"/>
          <w:szCs w:val="21"/>
        </w:rPr>
        <w:t>a）动作意图识别：判断行为的潜在目的；</w:t>
      </w:r>
    </w:p>
    <w:p w14:paraId="5E2B9B09">
      <w:pPr>
        <w:ind w:firstLine="400"/>
        <w:jc w:val="left"/>
        <w:rPr>
          <w:rFonts w:ascii="Times New Roman Regular" w:hAnsi="Times New Roman Regular" w:cs="Times New Roman Regular"/>
          <w:szCs w:val="21"/>
        </w:rPr>
      </w:pPr>
      <w:r>
        <w:rPr>
          <w:rFonts w:hint="eastAsia" w:ascii="宋体" w:hAnsi="宋体" w:cs="宋体"/>
          <w:szCs w:val="21"/>
        </w:rPr>
        <w:t>b）群体行为预测：预测多个主体间彼此协调或冲突的意图。</w:t>
      </w:r>
    </w:p>
    <w:p w14:paraId="1FFC6571">
      <w:pPr>
        <w:pStyle w:val="31"/>
        <w:numPr>
          <w:ilvl w:val="0"/>
          <w:numId w:val="0"/>
        </w:numPr>
        <w:spacing w:before="156" w:beforeLines="50" w:after="156" w:afterLines="50"/>
      </w:pPr>
      <w:bookmarkStart w:id="50" w:name="_Toc205400301"/>
      <w:r>
        <w:rPr>
          <w:rFonts w:hint="eastAsia"/>
        </w:rPr>
        <w:t>5.8　情绪理解</w:t>
      </w:r>
      <w:bookmarkEnd w:id="50"/>
    </w:p>
    <w:p w14:paraId="4626E172">
      <w:pPr>
        <w:pStyle w:val="32"/>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测试AGI的情绪理解能力，指测试AGI识别动态场景中主体的情绪状态的能力，包含但不限于以下能力：</w:t>
      </w:r>
    </w:p>
    <w:p w14:paraId="5443F717">
      <w:pPr>
        <w:pStyle w:val="32"/>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a）面部情绪识别：通过表情判断情绪；</w:t>
      </w:r>
    </w:p>
    <w:p w14:paraId="538A9D1A">
      <w:pPr>
        <w:pStyle w:val="32"/>
        <w:ind w:firstLine="42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b）肢体语言分析：通过姿势或动作推断情绪；</w:t>
      </w:r>
    </w:p>
    <w:p w14:paraId="1A074540">
      <w:pPr>
        <w:pStyle w:val="27"/>
        <w:ind w:left="0" w:leftChars="0"/>
      </w:pPr>
      <w:r>
        <w:rPr>
          <w:rFonts w:hint="eastAsia" w:hAnsi="宋体" w:cs="宋体"/>
          <w:color w:val="000000" w:themeColor="text1"/>
          <w:szCs w:val="21"/>
          <w14:textFill>
            <w14:solidFill>
              <w14:schemeClr w14:val="tx1"/>
            </w14:solidFill>
          </w14:textFill>
        </w:rPr>
        <w:t>c）情境情绪推理：结合上下文推测情绪。</w:t>
      </w:r>
    </w:p>
    <w:p w14:paraId="0236A9C0">
      <w:pPr>
        <w:pStyle w:val="31"/>
        <w:spacing w:before="312" w:after="312"/>
      </w:pPr>
      <w:bookmarkStart w:id="51" w:name="_Toc205400302"/>
      <w:r>
        <w:rPr>
          <w:rFonts w:hint="eastAsia"/>
        </w:rPr>
        <w:t>测试</w:t>
      </w:r>
      <w:bookmarkEnd w:id="51"/>
      <w:r>
        <w:rPr>
          <w:rFonts w:hint="eastAsia"/>
        </w:rPr>
        <w:t>流程</w:t>
      </w:r>
    </w:p>
    <w:p w14:paraId="535A4CC9">
      <w:pPr>
        <w:pStyle w:val="31"/>
        <w:numPr>
          <w:ilvl w:val="0"/>
          <w:numId w:val="0"/>
        </w:numPr>
        <w:spacing w:before="156" w:beforeLines="50" w:after="156" w:afterLines="50"/>
      </w:pPr>
      <w:bookmarkStart w:id="52" w:name="_Toc205400303"/>
      <w:r>
        <w:rPr>
          <w:rFonts w:hint="eastAsia"/>
        </w:rPr>
        <w:t>6.1　概述</w:t>
      </w:r>
      <w:bookmarkEnd w:id="52"/>
    </w:p>
    <w:p w14:paraId="07ED8C33">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AGI视觉理解能力的测试包括测试准备、测试执行、测试结果三大步骤，如图3所示：</w:t>
      </w:r>
    </w:p>
    <w:p w14:paraId="7715CFC6">
      <w:pPr>
        <w:pStyle w:val="32"/>
        <w:ind w:firstLine="400"/>
        <w:rPr>
          <w:rFonts w:hAnsi="宋体" w:cs="宋体"/>
          <w:color w:val="000000" w:themeColor="text1"/>
          <w14:textFill>
            <w14:solidFill>
              <w14:schemeClr w14:val="tx1"/>
            </w14:solidFill>
          </w14:textFill>
        </w:rPr>
      </w:pPr>
      <w:r>
        <w:rPr>
          <w:rFonts w:hint="eastAsia" w:hAnsi="宋体" w:cs="宋体"/>
          <w:sz w:val="20"/>
        </w:rPr>
        <w:t>a）</w:t>
      </w:r>
      <w:r>
        <w:rPr>
          <w:rFonts w:hint="eastAsia" w:hAnsi="宋体" w:cs="宋体"/>
          <w:color w:val="000000" w:themeColor="text1"/>
          <w14:textFill>
            <w14:solidFill>
              <w14:schemeClr w14:val="tx1"/>
            </w14:solidFill>
          </w14:textFill>
        </w:rPr>
        <w:t>测试准备：将根据测试需要，筛选任务维度和任务池中的部分或全部任务作为测试任务集合，对每个任务用到的数据集进行质量审查；</w:t>
      </w:r>
    </w:p>
    <w:p w14:paraId="5BB4E51C">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color w:val="000000" w:themeColor="text1"/>
          <w14:textFill>
            <w14:solidFill>
              <w14:schemeClr w14:val="tx1"/>
            </w14:solidFill>
          </w14:textFill>
        </w:rPr>
        <w:t>测试执行：导入待测模型，将模型在测试任务集合上进行测试，测试逐维度、逐任务开展，直到全部选定任务均测试完成；</w:t>
      </w:r>
    </w:p>
    <w:p w14:paraId="1C35BF9E">
      <w:pPr>
        <w:pStyle w:val="32"/>
        <w:ind w:firstLine="420"/>
        <w:rPr>
          <w:rFonts w:ascii="Times New Roman Regular" w:hAnsi="Times New Roman Regular" w:cs="Times New Roman Regular"/>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c</w:t>
      </w:r>
      <w:r>
        <w:rPr>
          <w:rFonts w:hint="eastAsia" w:hAnsi="宋体" w:cs="宋体"/>
          <w:sz w:val="20"/>
        </w:rPr>
        <w:t>）</w:t>
      </w:r>
      <w:r>
        <w:rPr>
          <w:rFonts w:hint="eastAsia" w:hAnsi="宋体" w:cs="宋体"/>
          <w:color w:val="000000" w:themeColor="text1"/>
          <w14:textFill>
            <w14:solidFill>
              <w14:schemeClr w14:val="tx1"/>
            </w14:solidFill>
          </w14:textFill>
        </w:rPr>
        <w:t>测试结果：根据待测模型在参加所有测试的测试数据，汇总报告测试结果。</w:t>
      </w:r>
    </w:p>
    <w:p w14:paraId="4B42B94E">
      <w:pPr>
        <w:pStyle w:val="27"/>
        <w:jc w:val="center"/>
      </w:pPr>
      <w:r>
        <w:drawing>
          <wp:inline distT="0" distB="0" distL="0" distR="0">
            <wp:extent cx="2138680" cy="3474720"/>
            <wp:effectExtent l="0" t="0" r="0" b="0"/>
            <wp:docPr id="62" name="picture" descr="descript"/>
            <wp:cNvGraphicFramePr/>
            <a:graphic xmlns:a="http://schemas.openxmlformats.org/drawingml/2006/main">
              <a:graphicData uri="http://schemas.openxmlformats.org/drawingml/2006/picture">
                <pic:pic xmlns:pic="http://schemas.openxmlformats.org/drawingml/2006/picture">
                  <pic:nvPicPr>
                    <pic:cNvPr id="62" name="picture" descr="descript"/>
                    <pic:cNvPicPr/>
                  </pic:nvPicPr>
                  <pic:blipFill>
                    <a:blip r:embed="rId18"/>
                    <a:stretch>
                      <a:fillRect/>
                    </a:stretch>
                  </pic:blipFill>
                  <pic:spPr>
                    <a:xfrm>
                      <a:off x="0" y="0"/>
                      <a:ext cx="2228079" cy="3619593"/>
                    </a:xfrm>
                    <a:prstGeom prst="rect">
                      <a:avLst/>
                    </a:prstGeom>
                  </pic:spPr>
                </pic:pic>
              </a:graphicData>
            </a:graphic>
          </wp:inline>
        </w:drawing>
      </w:r>
    </w:p>
    <w:p w14:paraId="23A4D070">
      <w:pPr>
        <w:pStyle w:val="27"/>
        <w:jc w:val="center"/>
        <w:rPr>
          <w:rFonts w:ascii="黑体" w:hAnsi="黑体" w:eastAsia="黑体"/>
        </w:rPr>
      </w:pPr>
      <w:r>
        <w:rPr>
          <w:rFonts w:ascii="黑体" w:hAnsi="黑体" w:eastAsia="黑体"/>
        </w:rPr>
        <w:t>图</w:t>
      </w:r>
      <w:r>
        <w:rPr>
          <w:rFonts w:hint="eastAsia" w:ascii="黑体" w:hAnsi="黑体" w:eastAsia="黑体"/>
        </w:rPr>
        <w:t>3</w:t>
      </w:r>
      <w:r>
        <w:rPr>
          <w:rFonts w:ascii="黑体" w:hAnsi="黑体" w:eastAsia="黑体"/>
        </w:rPr>
        <w:t xml:space="preserve"> AGI视觉理解能力测试流程</w:t>
      </w:r>
    </w:p>
    <w:p w14:paraId="3B36C6C9">
      <w:pPr>
        <w:pStyle w:val="31"/>
        <w:numPr>
          <w:ilvl w:val="0"/>
          <w:numId w:val="0"/>
        </w:numPr>
        <w:spacing w:before="156" w:beforeLines="50" w:after="156" w:afterLines="50"/>
      </w:pPr>
      <w:bookmarkStart w:id="53" w:name="_Toc205400304"/>
      <w:r>
        <w:rPr>
          <w:rFonts w:hint="eastAsia"/>
        </w:rPr>
        <w:t>6.2　测试准备</w:t>
      </w:r>
      <w:bookmarkEnd w:id="53"/>
    </w:p>
    <w:p w14:paraId="1D107007">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测试数据集应满足以下要求：</w:t>
      </w:r>
    </w:p>
    <w:p w14:paraId="1C39D063">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w:t>
      </w:r>
      <w:r>
        <w:rPr>
          <w:rFonts w:hint="eastAsia" w:hAnsi="宋体" w:cs="宋体"/>
          <w:sz w:val="20"/>
        </w:rPr>
        <w:t xml:space="preserve">） </w:t>
      </w:r>
      <w:r>
        <w:rPr>
          <w:rFonts w:hint="eastAsia" w:hAnsi="宋体" w:cs="宋体"/>
          <w:color w:val="000000" w:themeColor="text1"/>
          <w14:textFill>
            <w14:solidFill>
              <w14:schemeClr w14:val="tx1"/>
            </w14:solidFill>
          </w14:textFill>
        </w:rPr>
        <w:t>合规性和隐私保护：数据收集过程遵循适用的法规和隐私保护标准，保护用户隐私；</w:t>
      </w:r>
    </w:p>
    <w:p w14:paraId="6DDA40AE">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color w:val="000000" w:themeColor="text1"/>
          <w14:textFill>
            <w14:solidFill>
              <w14:schemeClr w14:val="tx1"/>
            </w14:solidFill>
          </w14:textFill>
        </w:rPr>
        <w:t>评测指标完备：为每个评测指标构建满足相应数量的数据集；</w:t>
      </w:r>
    </w:p>
    <w:p w14:paraId="4046E508">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c</w:t>
      </w:r>
      <w:r>
        <w:rPr>
          <w:rFonts w:hint="eastAsia" w:hAnsi="宋体" w:cs="宋体"/>
          <w:sz w:val="20"/>
        </w:rPr>
        <w:t>）</w:t>
      </w:r>
      <w:r>
        <w:rPr>
          <w:rFonts w:hint="eastAsia" w:hAnsi="宋体" w:cs="宋体"/>
          <w:color w:val="000000" w:themeColor="text1"/>
          <w14:textFill>
            <w14:solidFill>
              <w14:schemeClr w14:val="tx1"/>
            </w14:solidFill>
          </w14:textFill>
        </w:rPr>
        <w:t>时效性：数据集结合开源数据集和自制数据集，定期更新维护；</w:t>
      </w:r>
    </w:p>
    <w:p w14:paraId="295A09A5">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d</w:t>
      </w:r>
      <w:r>
        <w:rPr>
          <w:rFonts w:hint="eastAsia" w:hAnsi="宋体" w:cs="宋体"/>
          <w:sz w:val="20"/>
        </w:rPr>
        <w:t>）</w:t>
      </w:r>
      <w:r>
        <w:rPr>
          <w:rFonts w:hint="eastAsia" w:hAnsi="宋体" w:cs="宋体"/>
          <w:color w:val="000000" w:themeColor="text1"/>
          <w14:textFill>
            <w14:solidFill>
              <w14:schemeClr w14:val="tx1"/>
            </w14:solidFill>
          </w14:textFill>
        </w:rPr>
        <w:t>可用性：数据集格式和接口符合广泛的标准，以便于获取和使用；</w:t>
      </w:r>
    </w:p>
    <w:p w14:paraId="7AD4C42A">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e</w:t>
      </w:r>
      <w:r>
        <w:rPr>
          <w:rFonts w:hint="eastAsia" w:hAnsi="宋体" w:cs="宋体"/>
          <w:sz w:val="20"/>
        </w:rPr>
        <w:t>）</w:t>
      </w:r>
      <w:r>
        <w:rPr>
          <w:rFonts w:hint="eastAsia" w:hAnsi="宋体" w:cs="宋体"/>
          <w:color w:val="000000" w:themeColor="text1"/>
          <w14:textFill>
            <w14:solidFill>
              <w14:schemeClr w14:val="tx1"/>
            </w14:solidFill>
          </w14:textFill>
        </w:rPr>
        <w:t>多样性和代表性：涵盖不同的背景、场景、领域等，以确保数据能覆盖不同的使用情况；</w:t>
      </w:r>
    </w:p>
    <w:p w14:paraId="3D819A2D">
      <w:pPr>
        <w:pStyle w:val="32"/>
        <w:ind w:firstLine="420"/>
      </w:pPr>
      <w:r>
        <w:rPr>
          <w:rFonts w:hint="eastAsia" w:hAnsi="宋体" w:cs="宋体"/>
          <w:color w:val="000000" w:themeColor="text1"/>
          <w14:textFill>
            <w14:solidFill>
              <w14:schemeClr w14:val="tx1"/>
            </w14:solidFill>
          </w14:textFill>
        </w:rPr>
        <w:t>f</w:t>
      </w:r>
      <w:r>
        <w:rPr>
          <w:rFonts w:hint="eastAsia" w:hAnsi="宋体" w:cs="宋体"/>
          <w:sz w:val="20"/>
        </w:rPr>
        <w:t>）</w:t>
      </w:r>
      <w:r>
        <w:rPr>
          <w:rFonts w:hint="eastAsia" w:hAnsi="宋体" w:cs="宋体"/>
          <w:color w:val="000000" w:themeColor="text1"/>
          <w14:textFill>
            <w14:solidFill>
              <w14:schemeClr w14:val="tx1"/>
            </w14:solidFill>
          </w14:textFill>
        </w:rPr>
        <w:t>数据标注流程符合GB/T 42755—2023中第6章和第7章的要求。</w:t>
      </w:r>
    </w:p>
    <w:p w14:paraId="1E67285B">
      <w:pPr>
        <w:pStyle w:val="31"/>
        <w:numPr>
          <w:ilvl w:val="0"/>
          <w:numId w:val="0"/>
        </w:numPr>
        <w:spacing w:before="156" w:beforeLines="50" w:after="156" w:afterLines="50"/>
      </w:pPr>
      <w:bookmarkStart w:id="54" w:name="_Toc205400305"/>
      <w:r>
        <w:rPr>
          <w:rFonts w:hint="eastAsia"/>
        </w:rPr>
        <w:t>6.3　测试执行</w:t>
      </w:r>
      <w:bookmarkEnd w:id="54"/>
    </w:p>
    <w:p w14:paraId="0223ED31">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测试执行过程包括以下三个步骤：</w:t>
      </w:r>
    </w:p>
    <w:p w14:paraId="17E48A00">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w:t>
      </w:r>
      <w:r>
        <w:rPr>
          <w:rFonts w:hint="eastAsia" w:hAnsi="宋体" w:cs="宋体"/>
          <w:sz w:val="20"/>
        </w:rPr>
        <w:t>）</w:t>
      </w:r>
      <w:r>
        <w:rPr>
          <w:rFonts w:hint="eastAsia" w:hAnsi="宋体" w:cs="宋体"/>
          <w:color w:val="000000" w:themeColor="text1"/>
          <w14:textFill>
            <w14:solidFill>
              <w14:schemeClr w14:val="tx1"/>
            </w14:solidFill>
          </w14:textFill>
        </w:rPr>
        <w:t>导入待测模型，验证模型的输入和输出数据工作正常；</w:t>
      </w:r>
    </w:p>
    <w:p w14:paraId="3B482F13">
      <w:pPr>
        <w:pStyle w:val="32"/>
        <w:ind w:firstLine="420"/>
        <w:rPr>
          <w:rFonts w:hAnsi="宋体" w:cs="宋体"/>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rPr>
        <w:t>逐个开展任务测试，由测试系统根据任务要求来记录待测模型表现；</w:t>
      </w:r>
    </w:p>
    <w:p w14:paraId="32EF988F">
      <w:pPr>
        <w:pStyle w:val="32"/>
        <w:ind w:firstLine="420"/>
      </w:pPr>
      <w:r>
        <w:rPr>
          <w:rFonts w:hint="eastAsia" w:hAnsi="宋体" w:cs="宋体"/>
          <w:color w:val="000000" w:themeColor="text1"/>
          <w14:textFill>
            <w14:solidFill>
              <w14:schemeClr w14:val="tx1"/>
            </w14:solidFill>
          </w14:textFill>
        </w:rPr>
        <w:t>c</w:t>
      </w:r>
      <w:r>
        <w:rPr>
          <w:rFonts w:hint="eastAsia" w:hAnsi="宋体" w:cs="宋体"/>
          <w:sz w:val="20"/>
        </w:rPr>
        <w:t>）</w:t>
      </w:r>
      <w:r>
        <w:rPr>
          <w:rFonts w:hint="eastAsia" w:hAnsi="宋体" w:cs="宋体"/>
        </w:rPr>
        <w:t>汇总测试数据，进入测试结果分析及报告流程。</w:t>
      </w:r>
    </w:p>
    <w:p w14:paraId="031E893D">
      <w:pPr>
        <w:pStyle w:val="31"/>
        <w:numPr>
          <w:ilvl w:val="0"/>
          <w:numId w:val="0"/>
        </w:numPr>
        <w:spacing w:before="156" w:beforeLines="50" w:after="156" w:afterLines="50"/>
      </w:pPr>
      <w:bookmarkStart w:id="55" w:name="_Toc205400306"/>
      <w:r>
        <w:rPr>
          <w:rFonts w:hint="eastAsia"/>
        </w:rPr>
        <w:t>6.4　测试结果</w:t>
      </w:r>
      <w:bookmarkEnd w:id="55"/>
    </w:p>
    <w:p w14:paraId="5E62440F">
      <w:pPr>
        <w:pStyle w:val="31"/>
        <w:numPr>
          <w:ilvl w:val="0"/>
          <w:numId w:val="0"/>
        </w:numPr>
        <w:spacing w:before="156" w:beforeLines="50" w:after="156" w:afterLines="50"/>
      </w:pPr>
      <w:bookmarkStart w:id="56" w:name="_Toc205400307"/>
      <w:r>
        <w:rPr>
          <w:rFonts w:hint="eastAsia"/>
        </w:rPr>
        <w:t>6.4.1　“任务泛化能力”分数计算</w:t>
      </w:r>
      <w:bookmarkEnd w:id="56"/>
    </w:p>
    <w:p w14:paraId="093C9985">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该指标的计算包括以下步骤：</w:t>
      </w:r>
    </w:p>
    <w:p w14:paraId="2AAF321D">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w:t>
      </w:r>
      <w:r>
        <w:rPr>
          <w:rFonts w:hint="eastAsia" w:hAnsi="宋体" w:cs="宋体"/>
          <w:sz w:val="20"/>
        </w:rPr>
        <w:t>）</w:t>
      </w:r>
      <w:r>
        <w:rPr>
          <w:rFonts w:hint="eastAsia" w:hAnsi="宋体" w:cs="宋体"/>
          <w:color w:val="000000" w:themeColor="text1"/>
          <w14:textFill>
            <w14:solidFill>
              <w14:schemeClr w14:val="tx1"/>
            </w14:solidFill>
          </w14:textFill>
        </w:rPr>
        <w:t>针对表1中的部分或全部二级能力维度，选择M个测试任务类别；</w:t>
      </w:r>
    </w:p>
    <w:p w14:paraId="67F52346">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color w:val="000000" w:themeColor="text1"/>
          <w14:textFill>
            <w14:solidFill>
              <w14:schemeClr w14:val="tx1"/>
            </w14:solidFill>
          </w14:textFill>
        </w:rPr>
        <w:t>依次针对M个任务类别开展测试；</w:t>
      </w:r>
    </w:p>
    <w:p w14:paraId="29B77BA2">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c</w:t>
      </w:r>
      <w:r>
        <w:rPr>
          <w:rFonts w:hint="eastAsia" w:hAnsi="宋体" w:cs="宋体"/>
          <w:sz w:val="20"/>
        </w:rPr>
        <w:t xml:space="preserve">） </w:t>
      </w:r>
      <w:r>
        <w:rPr>
          <w:rFonts w:hint="eastAsia" w:hAnsi="宋体" w:cs="宋体"/>
          <w:color w:val="000000" w:themeColor="text1"/>
          <w14:textFill>
            <w14:solidFill>
              <w14:schemeClr w14:val="tx1"/>
            </w14:solidFill>
          </w14:textFill>
        </w:rPr>
        <w:t>首先在选定的任务场景下，由测试系统随机生成针对选定任务类别的多个家庭任务，包含有效家庭任务和无关家庭任务；</w:t>
      </w:r>
    </w:p>
    <w:p w14:paraId="6A2792A5">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d</w:t>
      </w:r>
      <w:r>
        <w:rPr>
          <w:rFonts w:hint="eastAsia" w:hAnsi="宋体" w:cs="宋体"/>
          <w:sz w:val="20"/>
        </w:rPr>
        <w:t>）</w:t>
      </w:r>
      <w:r>
        <w:rPr>
          <w:rFonts w:hint="eastAsia" w:hAnsi="宋体" w:cs="宋体"/>
          <w:color w:val="000000" w:themeColor="text1"/>
          <w14:textFill>
            <w14:solidFill>
              <w14:schemeClr w14:val="tx1"/>
            </w14:solidFill>
          </w14:textFill>
        </w:rPr>
        <w:t>给定明确任务指令，并设定任务执行时间，在时间用尽后汇总任务完成情况；</w:t>
      </w:r>
    </w:p>
    <w:p w14:paraId="1CCE6169">
      <w:pPr>
        <w:pStyle w:val="32"/>
        <w:ind w:firstLine="42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e）统计正确完成的家庭任务数（TP）、正确忽略的家庭任务数（TN）、错误完成的家庭任务数（FP）、错误忽略的家庭任务数（FN），根据公式1计算该类别得分；</w:t>
      </w:r>
    </w:p>
    <w:p w14:paraId="74242021">
      <w:pPr>
        <w:pStyle w:val="32"/>
        <w:ind w:firstLine="420"/>
      </w:pPr>
      <w:r>
        <w:rPr>
          <w:rFonts w:hint="eastAsia" w:hAnsi="宋体" w:cs="宋体"/>
          <w:color w:val="000000" w:themeColor="text1"/>
          <w14:textFill>
            <w14:solidFill>
              <w14:schemeClr w14:val="tx1"/>
            </w14:solidFill>
          </w14:textFill>
        </w:rPr>
        <w:t>f</w:t>
      </w:r>
      <w:r>
        <w:rPr>
          <w:rFonts w:hint="eastAsia" w:hAnsi="宋体" w:cs="宋体"/>
          <w:sz w:val="20"/>
        </w:rPr>
        <w:t>）</w:t>
      </w:r>
      <w:r>
        <w:rPr>
          <w:rFonts w:hint="eastAsia" w:hAnsi="宋体" w:cs="宋体"/>
          <w:color w:val="000000" w:themeColor="text1"/>
          <w14:textFill>
            <w14:solidFill>
              <w14:schemeClr w14:val="tx1"/>
            </w14:solidFill>
          </w14:textFill>
        </w:rPr>
        <w:t>综合全部M个类别得分，根据公式1计算“任务泛化能力”最终得分。</w:t>
      </w:r>
    </w:p>
    <w:p w14:paraId="3F5DAF3C">
      <w:pPr>
        <w:pStyle w:val="31"/>
        <w:numPr>
          <w:ilvl w:val="0"/>
          <w:numId w:val="0"/>
        </w:numPr>
        <w:spacing w:before="156" w:beforeLines="50" w:after="156" w:afterLines="50"/>
      </w:pPr>
      <w:bookmarkStart w:id="57" w:name="_Toc205400308"/>
      <w:r>
        <w:rPr>
          <w:rFonts w:hint="eastAsia"/>
        </w:rPr>
        <w:t>6.4.2　“自主生成任务”分数计算</w:t>
      </w:r>
      <w:bookmarkEnd w:id="57"/>
    </w:p>
    <w:p w14:paraId="509447A4">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该指标的计算包括以下步骤：</w:t>
      </w:r>
    </w:p>
    <w:p w14:paraId="1C39CD05">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a</w:t>
      </w:r>
      <w:r>
        <w:rPr>
          <w:rFonts w:hint="eastAsia" w:hAnsi="宋体" w:cs="宋体"/>
          <w:sz w:val="20"/>
        </w:rPr>
        <w:t>）</w:t>
      </w:r>
      <w:r>
        <w:rPr>
          <w:rFonts w:hint="eastAsia" w:hAnsi="宋体" w:cs="宋体"/>
          <w:color w:val="000000" w:themeColor="text1"/>
          <w14:textFill>
            <w14:solidFill>
              <w14:schemeClr w14:val="tx1"/>
            </w14:solidFill>
          </w14:textFill>
        </w:rPr>
        <w:t>针对表1中的部分或全部二级能力维度，选择M个测试任务类别；</w:t>
      </w:r>
    </w:p>
    <w:p w14:paraId="30EDB4A4">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b</w:t>
      </w:r>
      <w:r>
        <w:rPr>
          <w:rFonts w:hint="eastAsia" w:hAnsi="宋体" w:cs="宋体"/>
          <w:sz w:val="20"/>
        </w:rPr>
        <w:t>）</w:t>
      </w:r>
      <w:r>
        <w:rPr>
          <w:rFonts w:hint="eastAsia" w:hAnsi="宋体" w:cs="宋体"/>
          <w:color w:val="000000" w:themeColor="text1"/>
          <w14:textFill>
            <w14:solidFill>
              <w14:schemeClr w14:val="tx1"/>
            </w14:solidFill>
          </w14:textFill>
        </w:rPr>
        <w:t>依次针对M个任务类别开展测试；</w:t>
      </w:r>
    </w:p>
    <w:p w14:paraId="5C452CED">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c</w:t>
      </w:r>
      <w:r>
        <w:rPr>
          <w:rFonts w:hint="eastAsia" w:hAnsi="宋体" w:cs="宋体"/>
          <w:sz w:val="20"/>
        </w:rPr>
        <w:t>）</w:t>
      </w:r>
      <w:r>
        <w:rPr>
          <w:rFonts w:hint="eastAsia" w:hAnsi="宋体" w:cs="宋体"/>
          <w:color w:val="000000" w:themeColor="text1"/>
          <w14:textFill>
            <w14:solidFill>
              <w14:schemeClr w14:val="tx1"/>
            </w14:solidFill>
          </w14:textFill>
        </w:rPr>
        <w:t>首先在选定的任务场景下，由测试系统随机生成针对选定任务类别的多个预期应完成的家庭任务；</w:t>
      </w:r>
    </w:p>
    <w:p w14:paraId="5B9652ED">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d</w:t>
      </w:r>
      <w:r>
        <w:rPr>
          <w:rFonts w:hint="eastAsia" w:hAnsi="宋体" w:cs="宋体"/>
          <w:sz w:val="20"/>
        </w:rPr>
        <w:t>）进而为测量自主性，</w:t>
      </w:r>
      <w:r>
        <w:rPr>
          <w:rFonts w:hint="eastAsia" w:hAnsi="宋体" w:cs="宋体"/>
          <w:color w:val="000000" w:themeColor="text1"/>
          <w14:textFill>
            <w14:solidFill>
              <w14:schemeClr w14:val="tx1"/>
            </w14:solidFill>
          </w14:textFill>
        </w:rPr>
        <w:t>不设定明确任务指令，允许待测模型自主决定执行或不执行任意任务，但设定任务执行时间，在时间用尽后汇总任务完成情况；</w:t>
      </w:r>
    </w:p>
    <w:p w14:paraId="78BCA1BF">
      <w:pPr>
        <w:pStyle w:val="32"/>
        <w:ind w:firstLine="42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e）统计所有已完成任务，根据公式2计算相关性，根据公式3计算覆盖度，最后根据公式4计算该类别“自主生成任务”得分；</w:t>
      </w:r>
    </w:p>
    <w:p w14:paraId="3A08E9FF">
      <w:pPr>
        <w:pStyle w:val="32"/>
        <w:ind w:firstLine="420"/>
      </w:pPr>
      <w:r>
        <w:rPr>
          <w:rFonts w:hint="eastAsia" w:hAnsi="宋体" w:cs="宋体"/>
          <w:color w:val="000000" w:themeColor="text1"/>
          <w14:textFill>
            <w14:solidFill>
              <w14:schemeClr w14:val="tx1"/>
            </w14:solidFill>
          </w14:textFill>
        </w:rPr>
        <w:t>f</w:t>
      </w:r>
      <w:r>
        <w:rPr>
          <w:rFonts w:hint="eastAsia" w:hAnsi="宋体" w:cs="宋体"/>
          <w:sz w:val="20"/>
        </w:rPr>
        <w:t>）</w:t>
      </w:r>
      <w:r>
        <w:rPr>
          <w:rFonts w:hint="eastAsia" w:hAnsi="宋体" w:cs="宋体"/>
          <w:color w:val="000000" w:themeColor="text1"/>
          <w14:textFill>
            <w14:solidFill>
              <w14:schemeClr w14:val="tx1"/>
            </w14:solidFill>
          </w14:textFill>
        </w:rPr>
        <w:t>综合全部M个类别得分，计算所有类别的平均分作为“自主生成任务”最终得分。</w:t>
      </w:r>
    </w:p>
    <w:p w14:paraId="361F8DF5">
      <w:pPr>
        <w:pStyle w:val="32"/>
        <w:ind w:firstLine="0" w:firstLineChars="0"/>
      </w:pPr>
    </w:p>
    <w:p w14:paraId="7BBFF917">
      <w:pPr>
        <w:pStyle w:val="27"/>
        <w:ind w:left="0" w:leftChars="0" w:firstLine="0" w:firstLineChars="0"/>
      </w:pPr>
    </w:p>
    <w:p w14:paraId="0896FC5B">
      <w:pPr>
        <w:pStyle w:val="33"/>
      </w:pPr>
      <w:bookmarkStart w:id="58" w:name="_Toc205400309"/>
      <w:bookmarkEnd w:id="58"/>
    </w:p>
    <w:p w14:paraId="509AA768">
      <w:pPr>
        <w:pStyle w:val="34"/>
        <w:tabs>
          <w:tab w:val="clear" w:pos="0"/>
        </w:tabs>
      </w:pPr>
      <w:bookmarkStart w:id="59" w:name="_Toc205400310"/>
      <w:bookmarkEnd w:id="59"/>
    </w:p>
    <w:p w14:paraId="65AA6160">
      <w:pPr>
        <w:pStyle w:val="35"/>
      </w:pPr>
      <w:r>
        <w:br w:type="textWrapping"/>
      </w:r>
      <w:bookmarkStart w:id="60" w:name="_Toc17878130"/>
      <w:bookmarkStart w:id="61" w:name="_Toc205400311"/>
      <w:r>
        <w:rPr>
          <w:rFonts w:hint="eastAsia"/>
        </w:rPr>
        <w:t>（资料</w:t>
      </w:r>
      <w:r>
        <w:t>性</w:t>
      </w:r>
      <w:r>
        <w:rPr>
          <w:rFonts w:hint="eastAsia"/>
        </w:rPr>
        <w:t>）</w:t>
      </w:r>
      <w:r>
        <w:br w:type="textWrapping"/>
      </w:r>
      <w:bookmarkEnd w:id="60"/>
      <w:r>
        <w:rPr>
          <w:rFonts w:hint="eastAsia"/>
        </w:rPr>
        <w:t>家庭环境通用人工智能视觉心智能力测试结果示例</w:t>
      </w:r>
      <w:bookmarkEnd w:id="61"/>
    </w:p>
    <w:p w14:paraId="2ACE2720">
      <w:pPr>
        <w:pStyle w:val="36"/>
        <w:spacing w:before="156" w:beforeLines="50" w:after="156" w:afterLines="50"/>
        <w:rPr>
          <w:rFonts w:hAnsi="黑体"/>
        </w:rPr>
      </w:pPr>
      <w:bookmarkStart w:id="62" w:name="_Toc205400312"/>
      <w:r>
        <w:rPr>
          <w:rFonts w:hint="eastAsia" w:hAnsi="黑体"/>
        </w:rPr>
        <w:t>测试</w:t>
      </w:r>
      <w:bookmarkEnd w:id="62"/>
      <w:r>
        <w:rPr>
          <w:rFonts w:hint="eastAsia" w:hAnsi="黑体"/>
        </w:rPr>
        <w:t>任务</w:t>
      </w:r>
    </w:p>
    <w:p w14:paraId="6AAC2EC8">
      <w:pPr>
        <w:pStyle w:val="27"/>
        <w:ind w:left="0" w:leftChars="0"/>
      </w:pPr>
      <w:r>
        <w:rPr>
          <w:rFonts w:hint="eastAsia"/>
        </w:rPr>
        <w:t xml:space="preserve">针对表1中的3个二级能力维度（“客体属性及关系理解”、“视觉语言联合解译”、“视觉常识理解”），选择8个家庭环境测试任务，分别是整理行李箱、整理桌面、拼图、搭建积木、物品分类计数、打扫房间、理解按钮功能、挑选礼物。 </w:t>
      </w:r>
    </w:p>
    <w:p w14:paraId="2A1C4949">
      <w:pPr>
        <w:pStyle w:val="27"/>
        <w:ind w:left="0" w:leftChars="0"/>
      </w:pPr>
      <w:r>
        <w:rPr>
          <w:rFonts w:hint="eastAsia"/>
        </w:rPr>
        <w:t>具体来说，整理行李箱、整理桌面、拼图、搭建积木这4个任务对应“客体属性及关系理解”维度；物品分类计数、打扫房间这2个任务对应“视觉语言联合解译”维度；理解按钮功能、挑选礼物对应“视觉常识理解”维度。基于测试引擎-1开发了虚拟测试场景，支撑上述8个家庭任务的测试。测试场景如下：</w:t>
      </w:r>
    </w:p>
    <w:p w14:paraId="0A98639A">
      <w:pPr>
        <w:pStyle w:val="27"/>
        <w:ind w:left="0" w:leftChars="0" w:firstLine="0" w:firstLineChars="0"/>
        <w:jc w:val="center"/>
      </w:pPr>
      <w:r>
        <w:rPr>
          <w:rFonts w:ascii="Times New Roman"/>
        </w:rPr>
        <w:drawing>
          <wp:inline distT="0" distB="0" distL="0" distR="0">
            <wp:extent cx="4060190" cy="1750695"/>
            <wp:effectExtent l="0" t="0" r="0" b="0"/>
            <wp:docPr id="1438240060" name="picture" descr="descript"/>
            <wp:cNvGraphicFramePr/>
            <a:graphic xmlns:a="http://schemas.openxmlformats.org/drawingml/2006/main">
              <a:graphicData uri="http://schemas.openxmlformats.org/drawingml/2006/picture">
                <pic:pic xmlns:pic="http://schemas.openxmlformats.org/drawingml/2006/picture">
                  <pic:nvPicPr>
                    <pic:cNvPr id="1438240060" name="picture" descr="descript"/>
                    <pic:cNvPicPr/>
                  </pic:nvPicPr>
                  <pic:blipFill>
                    <a:blip r:embed="rId19"/>
                    <a:stretch>
                      <a:fillRect/>
                    </a:stretch>
                  </pic:blipFill>
                  <pic:spPr>
                    <a:xfrm>
                      <a:off x="0" y="0"/>
                      <a:ext cx="4089695" cy="1763326"/>
                    </a:xfrm>
                    <a:prstGeom prst="rect">
                      <a:avLst/>
                    </a:prstGeom>
                  </pic:spPr>
                </pic:pic>
              </a:graphicData>
            </a:graphic>
          </wp:inline>
        </w:drawing>
      </w:r>
    </w:p>
    <w:p w14:paraId="3F1073FB">
      <w:pPr>
        <w:pStyle w:val="27"/>
        <w:jc w:val="center"/>
        <w:rPr>
          <w:rFonts w:ascii="黑体" w:hAnsi="黑体" w:eastAsia="黑体"/>
        </w:rPr>
      </w:pPr>
      <w:r>
        <w:rPr>
          <w:rFonts w:hint="eastAsia" w:ascii="黑体" w:hAnsi="黑体" w:eastAsia="黑体"/>
        </w:rPr>
        <w:t>图A.1 测试任务场景示意图</w:t>
      </w:r>
    </w:p>
    <w:p w14:paraId="66D58045">
      <w:pPr>
        <w:pStyle w:val="27"/>
        <w:ind w:left="0" w:leftChars="0"/>
      </w:pPr>
      <w:r>
        <w:rPr>
          <w:rFonts w:hint="eastAsia"/>
        </w:rPr>
        <w:t>针对每一项测试任务，检查所采用的虚拟测试环境是否能够正常启动，导入智能体，完成正常的数据交换。并且按照6.2中要求，对所采用的测试环境进行检查。如通过检查，则进入下一步测试。</w:t>
      </w:r>
    </w:p>
    <w:p w14:paraId="7FF224A5">
      <w:pPr>
        <w:pStyle w:val="36"/>
        <w:spacing w:before="156" w:beforeLines="50" w:after="156" w:afterLines="50"/>
        <w:rPr>
          <w:rFonts w:hAnsi="黑体"/>
        </w:rPr>
      </w:pPr>
      <w:bookmarkStart w:id="63" w:name="_Toc205400313"/>
      <w:r>
        <w:rPr>
          <w:rFonts w:hint="eastAsia" w:hAnsi="黑体"/>
        </w:rPr>
        <w:t>测试结果</w:t>
      </w:r>
      <w:bookmarkEnd w:id="63"/>
    </w:p>
    <w:p w14:paraId="1E77E774">
      <w:pPr>
        <w:pStyle w:val="27"/>
        <w:ind w:left="0" w:leftChars="0"/>
      </w:pPr>
      <w:r>
        <w:rPr>
          <w:rFonts w:hint="eastAsia"/>
        </w:rPr>
        <w:t>实验中接入2款多模态大模型</w:t>
      </w:r>
      <w:r>
        <w:rPr>
          <w:rFonts w:hint="eastAsia"/>
          <w:lang w:eastAsia="zh-CN"/>
        </w:rPr>
        <w:t>：</w:t>
      </w:r>
      <w:r>
        <w:rPr>
          <w:rFonts w:hint="eastAsia"/>
        </w:rPr>
        <w:t>实验多模态大模型-1</w:t>
      </w:r>
      <w:r>
        <w:rPr>
          <w:rFonts w:hint="eastAsia"/>
          <w:lang w:eastAsia="zh-CN"/>
        </w:rPr>
        <w:t>（</w:t>
      </w:r>
      <w:r>
        <w:rPr>
          <w:rFonts w:hint="eastAsia"/>
          <w:lang w:val="en-US" w:eastAsia="zh-CN"/>
        </w:rPr>
        <w:t>简称为大模型1）</w:t>
      </w:r>
      <w:r>
        <w:rPr>
          <w:rFonts w:hint="eastAsia"/>
          <w:lang w:eastAsia="zh-CN"/>
        </w:rPr>
        <w:t>、</w:t>
      </w:r>
      <w:r>
        <w:rPr>
          <w:rFonts w:hint="eastAsia"/>
        </w:rPr>
        <w:t>实验多模态大模型-</w:t>
      </w:r>
      <w:r>
        <w:rPr>
          <w:rFonts w:hint="eastAsia"/>
          <w:lang w:val="en-US" w:eastAsia="zh-CN"/>
        </w:rPr>
        <w:t>2</w:t>
      </w:r>
      <w:r>
        <w:rPr>
          <w:rFonts w:hint="eastAsia"/>
          <w:lang w:eastAsia="zh-CN"/>
        </w:rPr>
        <w:t>（</w:t>
      </w:r>
      <w:r>
        <w:rPr>
          <w:rFonts w:hint="eastAsia"/>
          <w:lang w:val="en-US" w:eastAsia="zh-CN"/>
        </w:rPr>
        <w:t>简称为大模型2）</w:t>
      </w:r>
      <w:r>
        <w:rPr>
          <w:rFonts w:hint="eastAsia"/>
        </w:rPr>
        <w:t>。模型在各项测试任务中的原始得分如下表所示（百分制）。可以根据公式1，进一步计算均值和标准差，从而得到“任务泛化能力”指标的分数。当</w:t>
      </w:r>
      <m:oMath>
        <m:r>
          <m:rPr>
            <m:sty m:val="p"/>
          </m:rPr>
          <w:rPr>
            <w:rFonts w:ascii="Cambria Math" w:hAnsi="Cambria Math"/>
            <w:color w:val="000000" w:themeColor="text1"/>
            <w14:textFill>
              <w14:solidFill>
                <w14:schemeClr w14:val="tx1"/>
              </w14:solidFill>
            </w14:textFill>
          </w:rPr>
          <m:t>γ</m:t>
        </m:r>
      </m:oMath>
      <w:r>
        <w:t>=</w:t>
      </w:r>
      <w:r>
        <w:rPr>
          <w:rFonts w:hint="eastAsia"/>
        </w:rPr>
        <w:t>1，</w:t>
      </w:r>
      <w:r>
        <w:rPr>
          <w:rFonts w:hint="eastAsia"/>
          <w:lang w:val="en-US" w:eastAsia="zh-CN"/>
        </w:rPr>
        <w:t>大模型1</w:t>
      </w:r>
      <w:r>
        <w:rPr>
          <w:rFonts w:hint="eastAsia"/>
        </w:rPr>
        <w:t>的“任务泛化能力”得分为0.172，而</w:t>
      </w:r>
      <w:r>
        <w:rPr>
          <w:rFonts w:hint="eastAsia"/>
          <w:lang w:val="en-US" w:eastAsia="zh-CN"/>
        </w:rPr>
        <w:t>大模型2</w:t>
      </w:r>
      <w:r>
        <w:rPr>
          <w:rFonts w:hint="eastAsia"/>
        </w:rPr>
        <w:t>的得分为0.108。</w:t>
      </w:r>
    </w:p>
    <w:p w14:paraId="3F754171">
      <w:pPr>
        <w:pStyle w:val="32"/>
        <w:ind w:firstLine="0" w:firstLineChars="0"/>
        <w:jc w:val="center"/>
        <w:rPr>
          <w:rFonts w:ascii="黑体" w:hAnsi="黑体" w:eastAsia="黑体" w:cs="Times New Roman Regular"/>
          <w:color w:val="000000" w:themeColor="text1"/>
          <w14:textFill>
            <w14:solidFill>
              <w14:schemeClr w14:val="tx1"/>
            </w14:solidFill>
          </w14:textFill>
        </w:rPr>
      </w:pPr>
      <w:r>
        <w:rPr>
          <w:rFonts w:hint="eastAsia" w:ascii="黑体" w:hAnsi="黑体" w:eastAsia="黑体" w:cs="Times New Roman Regular"/>
          <w:color w:val="000000" w:themeColor="text1"/>
          <w14:textFill>
            <w14:solidFill>
              <w14:schemeClr w14:val="tx1"/>
            </w14:solidFill>
          </w14:textFill>
        </w:rPr>
        <w:t>表A.1 模型测试结果</w:t>
      </w:r>
    </w:p>
    <w:tbl>
      <w:tblPr>
        <w:tblStyle w:val="7"/>
        <w:tblW w:w="8858" w:type="dxa"/>
        <w:jc w:val="center"/>
        <w:tblLayout w:type="autofit"/>
        <w:tblCellMar>
          <w:top w:w="0" w:type="dxa"/>
          <w:left w:w="108" w:type="dxa"/>
          <w:bottom w:w="0" w:type="dxa"/>
          <w:right w:w="108" w:type="dxa"/>
        </w:tblCellMar>
      </w:tblPr>
      <w:tblGrid>
        <w:gridCol w:w="1185"/>
        <w:gridCol w:w="1008"/>
        <w:gridCol w:w="1134"/>
        <w:gridCol w:w="850"/>
        <w:gridCol w:w="851"/>
        <w:gridCol w:w="1134"/>
        <w:gridCol w:w="850"/>
        <w:gridCol w:w="851"/>
        <w:gridCol w:w="995"/>
      </w:tblGrid>
      <w:tr w14:paraId="57C0D4F4">
        <w:tblPrEx>
          <w:tblCellMar>
            <w:top w:w="0" w:type="dxa"/>
            <w:left w:w="108" w:type="dxa"/>
            <w:bottom w:w="0" w:type="dxa"/>
            <w:right w:w="108" w:type="dxa"/>
          </w:tblCellMar>
        </w:tblPrEx>
        <w:trPr>
          <w:trHeight w:val="300" w:hRule="atLeast"/>
          <w:jc w:val="center"/>
        </w:trPr>
        <w:tc>
          <w:tcPr>
            <w:tcW w:w="1185" w:type="dxa"/>
            <w:tcBorders>
              <w:top w:val="single" w:color="auto" w:sz="4" w:space="0"/>
              <w:left w:val="single" w:color="auto" w:sz="4" w:space="0"/>
              <w:bottom w:val="single" w:color="auto" w:sz="4" w:space="0"/>
              <w:right w:val="single" w:color="auto" w:sz="4" w:space="0"/>
            </w:tcBorders>
            <w:noWrap/>
            <w:vAlign w:val="bottom"/>
          </w:tcPr>
          <w:p w14:paraId="646DCDD2">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模型</w:t>
            </w:r>
          </w:p>
        </w:tc>
        <w:tc>
          <w:tcPr>
            <w:tcW w:w="1008" w:type="dxa"/>
            <w:tcBorders>
              <w:top w:val="single" w:color="auto" w:sz="4" w:space="0"/>
              <w:left w:val="nil"/>
              <w:bottom w:val="single" w:color="auto" w:sz="4" w:space="0"/>
              <w:right w:val="single" w:color="auto" w:sz="4" w:space="0"/>
            </w:tcBorders>
            <w:noWrap/>
            <w:vAlign w:val="bottom"/>
          </w:tcPr>
          <w:p w14:paraId="3242FDE9">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整理行李箱</w:t>
            </w:r>
          </w:p>
        </w:tc>
        <w:tc>
          <w:tcPr>
            <w:tcW w:w="1134" w:type="dxa"/>
            <w:tcBorders>
              <w:top w:val="single" w:color="auto" w:sz="4" w:space="0"/>
              <w:left w:val="nil"/>
              <w:bottom w:val="single" w:color="auto" w:sz="4" w:space="0"/>
              <w:right w:val="single" w:color="auto" w:sz="4" w:space="0"/>
            </w:tcBorders>
            <w:noWrap/>
            <w:vAlign w:val="bottom"/>
          </w:tcPr>
          <w:p w14:paraId="32BCF159">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理解按钮功能</w:t>
            </w:r>
          </w:p>
        </w:tc>
        <w:tc>
          <w:tcPr>
            <w:tcW w:w="850" w:type="dxa"/>
            <w:tcBorders>
              <w:top w:val="single" w:color="auto" w:sz="4" w:space="0"/>
              <w:left w:val="nil"/>
              <w:bottom w:val="single" w:color="auto" w:sz="4" w:space="0"/>
              <w:right w:val="single" w:color="auto" w:sz="4" w:space="0"/>
            </w:tcBorders>
            <w:noWrap/>
            <w:vAlign w:val="bottom"/>
          </w:tcPr>
          <w:p w14:paraId="48FC17F2">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整理桌面</w:t>
            </w:r>
          </w:p>
        </w:tc>
        <w:tc>
          <w:tcPr>
            <w:tcW w:w="851" w:type="dxa"/>
            <w:tcBorders>
              <w:top w:val="single" w:color="auto" w:sz="4" w:space="0"/>
              <w:left w:val="nil"/>
              <w:bottom w:val="single" w:color="auto" w:sz="4" w:space="0"/>
              <w:right w:val="single" w:color="auto" w:sz="4" w:space="0"/>
            </w:tcBorders>
            <w:noWrap/>
            <w:vAlign w:val="bottom"/>
          </w:tcPr>
          <w:p w14:paraId="5E5705F8">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挑选礼物</w:t>
            </w:r>
          </w:p>
        </w:tc>
        <w:tc>
          <w:tcPr>
            <w:tcW w:w="1134" w:type="dxa"/>
            <w:tcBorders>
              <w:top w:val="single" w:color="auto" w:sz="4" w:space="0"/>
              <w:left w:val="nil"/>
              <w:bottom w:val="single" w:color="auto" w:sz="4" w:space="0"/>
              <w:right w:val="single" w:color="auto" w:sz="4" w:space="0"/>
            </w:tcBorders>
            <w:noWrap/>
            <w:vAlign w:val="bottom"/>
          </w:tcPr>
          <w:p w14:paraId="4E442D7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物品分类计数</w:t>
            </w:r>
          </w:p>
        </w:tc>
        <w:tc>
          <w:tcPr>
            <w:tcW w:w="850" w:type="dxa"/>
            <w:tcBorders>
              <w:top w:val="single" w:color="auto" w:sz="4" w:space="0"/>
              <w:left w:val="nil"/>
              <w:bottom w:val="single" w:color="auto" w:sz="4" w:space="0"/>
              <w:right w:val="single" w:color="auto" w:sz="4" w:space="0"/>
            </w:tcBorders>
            <w:noWrap/>
            <w:vAlign w:val="bottom"/>
          </w:tcPr>
          <w:p w14:paraId="414C72E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搭建积木</w:t>
            </w:r>
          </w:p>
        </w:tc>
        <w:tc>
          <w:tcPr>
            <w:tcW w:w="851" w:type="dxa"/>
            <w:tcBorders>
              <w:top w:val="single" w:color="auto" w:sz="4" w:space="0"/>
              <w:left w:val="nil"/>
              <w:bottom w:val="single" w:color="auto" w:sz="4" w:space="0"/>
              <w:right w:val="single" w:color="auto" w:sz="4" w:space="0"/>
            </w:tcBorders>
            <w:noWrap/>
            <w:vAlign w:val="bottom"/>
          </w:tcPr>
          <w:p w14:paraId="62EDE7C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打扫房间</w:t>
            </w:r>
          </w:p>
        </w:tc>
        <w:tc>
          <w:tcPr>
            <w:tcW w:w="995" w:type="dxa"/>
            <w:tcBorders>
              <w:top w:val="single" w:color="auto" w:sz="4" w:space="0"/>
              <w:left w:val="nil"/>
              <w:bottom w:val="single" w:color="auto" w:sz="4" w:space="0"/>
              <w:right w:val="single" w:color="auto" w:sz="4" w:space="0"/>
            </w:tcBorders>
            <w:noWrap/>
            <w:vAlign w:val="bottom"/>
          </w:tcPr>
          <w:p w14:paraId="0F22911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拼图</w:t>
            </w:r>
          </w:p>
        </w:tc>
      </w:tr>
      <w:tr w14:paraId="7786A392">
        <w:tblPrEx>
          <w:tblCellMar>
            <w:top w:w="0" w:type="dxa"/>
            <w:left w:w="108" w:type="dxa"/>
            <w:bottom w:w="0" w:type="dxa"/>
            <w:right w:w="108" w:type="dxa"/>
          </w:tblCellMar>
        </w:tblPrEx>
        <w:trPr>
          <w:trHeight w:val="300" w:hRule="atLeast"/>
          <w:jc w:val="center"/>
        </w:trPr>
        <w:tc>
          <w:tcPr>
            <w:tcW w:w="1185" w:type="dxa"/>
            <w:tcBorders>
              <w:top w:val="nil"/>
              <w:left w:val="single" w:color="auto" w:sz="4" w:space="0"/>
              <w:bottom w:val="single" w:color="auto" w:sz="4" w:space="0"/>
              <w:right w:val="single" w:color="auto" w:sz="4" w:space="0"/>
            </w:tcBorders>
            <w:noWrap/>
            <w:vAlign w:val="bottom"/>
          </w:tcPr>
          <w:p w14:paraId="44156A20">
            <w:pPr>
              <w:jc w:val="center"/>
              <w:rPr>
                <w:rFonts w:asciiTheme="minorEastAsia" w:hAnsiTheme="minorEastAsia" w:eastAsiaTheme="minorEastAsia"/>
                <w:color w:val="000000"/>
                <w:szCs w:val="21"/>
              </w:rPr>
            </w:pPr>
            <w:r>
              <w:rPr>
                <w:rFonts w:hint="eastAsia"/>
                <w:lang w:val="en-US" w:eastAsia="zh-CN"/>
              </w:rPr>
              <w:t>大模型1</w:t>
            </w:r>
          </w:p>
        </w:tc>
        <w:tc>
          <w:tcPr>
            <w:tcW w:w="1008" w:type="dxa"/>
            <w:tcBorders>
              <w:top w:val="nil"/>
              <w:left w:val="nil"/>
              <w:bottom w:val="single" w:color="auto" w:sz="4" w:space="0"/>
              <w:right w:val="single" w:color="auto" w:sz="4" w:space="0"/>
            </w:tcBorders>
            <w:noWrap/>
            <w:vAlign w:val="bottom"/>
          </w:tcPr>
          <w:p w14:paraId="3B5176CA">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55%</w:t>
            </w:r>
          </w:p>
        </w:tc>
        <w:tc>
          <w:tcPr>
            <w:tcW w:w="1134" w:type="dxa"/>
            <w:tcBorders>
              <w:top w:val="nil"/>
              <w:left w:val="nil"/>
              <w:bottom w:val="single" w:color="auto" w:sz="4" w:space="0"/>
              <w:right w:val="single" w:color="auto" w:sz="4" w:space="0"/>
            </w:tcBorders>
            <w:noWrap/>
            <w:vAlign w:val="bottom"/>
          </w:tcPr>
          <w:p w14:paraId="7EA22718">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40%</w:t>
            </w:r>
          </w:p>
        </w:tc>
        <w:tc>
          <w:tcPr>
            <w:tcW w:w="850" w:type="dxa"/>
            <w:tcBorders>
              <w:top w:val="nil"/>
              <w:left w:val="nil"/>
              <w:bottom w:val="single" w:color="auto" w:sz="4" w:space="0"/>
              <w:right w:val="single" w:color="auto" w:sz="4" w:space="0"/>
            </w:tcBorders>
            <w:noWrap/>
            <w:vAlign w:val="bottom"/>
          </w:tcPr>
          <w:p w14:paraId="15E7020E">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30%</w:t>
            </w:r>
          </w:p>
        </w:tc>
        <w:tc>
          <w:tcPr>
            <w:tcW w:w="851" w:type="dxa"/>
            <w:tcBorders>
              <w:top w:val="nil"/>
              <w:left w:val="nil"/>
              <w:bottom w:val="single" w:color="auto" w:sz="4" w:space="0"/>
              <w:right w:val="single" w:color="auto" w:sz="4" w:space="0"/>
            </w:tcBorders>
            <w:noWrap/>
            <w:vAlign w:val="bottom"/>
          </w:tcPr>
          <w:p w14:paraId="500275DA">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29%</w:t>
            </w:r>
          </w:p>
        </w:tc>
        <w:tc>
          <w:tcPr>
            <w:tcW w:w="1134" w:type="dxa"/>
            <w:tcBorders>
              <w:top w:val="nil"/>
              <w:left w:val="nil"/>
              <w:bottom w:val="single" w:color="auto" w:sz="4" w:space="0"/>
              <w:right w:val="single" w:color="auto" w:sz="4" w:space="0"/>
            </w:tcBorders>
            <w:noWrap/>
            <w:vAlign w:val="bottom"/>
          </w:tcPr>
          <w:p w14:paraId="15672549">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33%</w:t>
            </w:r>
          </w:p>
        </w:tc>
        <w:tc>
          <w:tcPr>
            <w:tcW w:w="850" w:type="dxa"/>
            <w:tcBorders>
              <w:top w:val="nil"/>
              <w:left w:val="nil"/>
              <w:bottom w:val="single" w:color="auto" w:sz="4" w:space="0"/>
              <w:right w:val="single" w:color="auto" w:sz="4" w:space="0"/>
            </w:tcBorders>
            <w:noWrap/>
            <w:vAlign w:val="bottom"/>
          </w:tcPr>
          <w:p w14:paraId="480E2556">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13%</w:t>
            </w:r>
          </w:p>
        </w:tc>
        <w:tc>
          <w:tcPr>
            <w:tcW w:w="851" w:type="dxa"/>
            <w:tcBorders>
              <w:top w:val="nil"/>
              <w:left w:val="nil"/>
              <w:bottom w:val="single" w:color="auto" w:sz="4" w:space="0"/>
              <w:right w:val="single" w:color="auto" w:sz="4" w:space="0"/>
            </w:tcBorders>
            <w:noWrap/>
            <w:vAlign w:val="bottom"/>
          </w:tcPr>
          <w:p w14:paraId="45165B3E">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24%</w:t>
            </w:r>
          </w:p>
        </w:tc>
        <w:tc>
          <w:tcPr>
            <w:tcW w:w="995" w:type="dxa"/>
            <w:tcBorders>
              <w:top w:val="nil"/>
              <w:left w:val="nil"/>
              <w:bottom w:val="single" w:color="auto" w:sz="4" w:space="0"/>
              <w:right w:val="single" w:color="auto" w:sz="4" w:space="0"/>
            </w:tcBorders>
            <w:noWrap/>
            <w:vAlign w:val="bottom"/>
          </w:tcPr>
          <w:p w14:paraId="01A8993A">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15%</w:t>
            </w:r>
          </w:p>
        </w:tc>
      </w:tr>
      <w:tr w14:paraId="71F22B2F">
        <w:tblPrEx>
          <w:tblCellMar>
            <w:top w:w="0" w:type="dxa"/>
            <w:left w:w="108" w:type="dxa"/>
            <w:bottom w:w="0" w:type="dxa"/>
            <w:right w:w="108" w:type="dxa"/>
          </w:tblCellMar>
        </w:tblPrEx>
        <w:trPr>
          <w:trHeight w:val="300" w:hRule="atLeast"/>
          <w:jc w:val="center"/>
        </w:trPr>
        <w:tc>
          <w:tcPr>
            <w:tcW w:w="1185" w:type="dxa"/>
            <w:tcBorders>
              <w:top w:val="nil"/>
              <w:left w:val="single" w:color="auto" w:sz="4" w:space="0"/>
              <w:bottom w:val="single" w:color="auto" w:sz="4" w:space="0"/>
              <w:right w:val="single" w:color="auto" w:sz="4" w:space="0"/>
            </w:tcBorders>
            <w:noWrap/>
            <w:vAlign w:val="bottom"/>
          </w:tcPr>
          <w:p w14:paraId="5DB3496B">
            <w:pPr>
              <w:jc w:val="center"/>
              <w:rPr>
                <w:rFonts w:asciiTheme="minorEastAsia" w:hAnsiTheme="minorEastAsia" w:eastAsiaTheme="minorEastAsia"/>
                <w:color w:val="000000"/>
                <w:szCs w:val="21"/>
              </w:rPr>
            </w:pPr>
            <w:r>
              <w:rPr>
                <w:rFonts w:hint="eastAsia"/>
                <w:lang w:val="en-US" w:eastAsia="zh-CN"/>
              </w:rPr>
              <w:t>大模型2</w:t>
            </w:r>
          </w:p>
        </w:tc>
        <w:tc>
          <w:tcPr>
            <w:tcW w:w="1008" w:type="dxa"/>
            <w:tcBorders>
              <w:top w:val="nil"/>
              <w:left w:val="nil"/>
              <w:bottom w:val="single" w:color="auto" w:sz="4" w:space="0"/>
              <w:right w:val="single" w:color="auto" w:sz="4" w:space="0"/>
            </w:tcBorders>
            <w:noWrap/>
            <w:vAlign w:val="bottom"/>
          </w:tcPr>
          <w:p w14:paraId="3D40C0CF">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5%</w:t>
            </w:r>
          </w:p>
        </w:tc>
        <w:tc>
          <w:tcPr>
            <w:tcW w:w="1134" w:type="dxa"/>
            <w:tcBorders>
              <w:top w:val="nil"/>
              <w:left w:val="nil"/>
              <w:bottom w:val="single" w:color="auto" w:sz="4" w:space="0"/>
              <w:right w:val="single" w:color="auto" w:sz="4" w:space="0"/>
            </w:tcBorders>
            <w:noWrap/>
            <w:vAlign w:val="bottom"/>
          </w:tcPr>
          <w:p w14:paraId="09852A38">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33%</w:t>
            </w:r>
          </w:p>
        </w:tc>
        <w:tc>
          <w:tcPr>
            <w:tcW w:w="850" w:type="dxa"/>
            <w:tcBorders>
              <w:top w:val="nil"/>
              <w:left w:val="nil"/>
              <w:bottom w:val="single" w:color="auto" w:sz="4" w:space="0"/>
              <w:right w:val="single" w:color="auto" w:sz="4" w:space="0"/>
            </w:tcBorders>
            <w:noWrap/>
            <w:vAlign w:val="bottom"/>
          </w:tcPr>
          <w:p w14:paraId="55BE04CE">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13%</w:t>
            </w:r>
          </w:p>
        </w:tc>
        <w:tc>
          <w:tcPr>
            <w:tcW w:w="851" w:type="dxa"/>
            <w:tcBorders>
              <w:top w:val="nil"/>
              <w:left w:val="nil"/>
              <w:bottom w:val="single" w:color="auto" w:sz="4" w:space="0"/>
              <w:right w:val="single" w:color="auto" w:sz="4" w:space="0"/>
            </w:tcBorders>
            <w:noWrap/>
            <w:vAlign w:val="bottom"/>
          </w:tcPr>
          <w:p w14:paraId="6E1B8EA5">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34%</w:t>
            </w:r>
          </w:p>
        </w:tc>
        <w:tc>
          <w:tcPr>
            <w:tcW w:w="1134" w:type="dxa"/>
            <w:tcBorders>
              <w:top w:val="nil"/>
              <w:left w:val="nil"/>
              <w:bottom w:val="single" w:color="auto" w:sz="4" w:space="0"/>
              <w:right w:val="single" w:color="auto" w:sz="4" w:space="0"/>
            </w:tcBorders>
            <w:noWrap/>
            <w:vAlign w:val="bottom"/>
          </w:tcPr>
          <w:p w14:paraId="1BBB2D58">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27%</w:t>
            </w:r>
          </w:p>
        </w:tc>
        <w:tc>
          <w:tcPr>
            <w:tcW w:w="850" w:type="dxa"/>
            <w:tcBorders>
              <w:top w:val="nil"/>
              <w:left w:val="nil"/>
              <w:bottom w:val="single" w:color="auto" w:sz="4" w:space="0"/>
              <w:right w:val="single" w:color="auto" w:sz="4" w:space="0"/>
            </w:tcBorders>
            <w:noWrap/>
            <w:vAlign w:val="bottom"/>
          </w:tcPr>
          <w:p w14:paraId="1DE3306B">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20%</w:t>
            </w:r>
          </w:p>
        </w:tc>
        <w:tc>
          <w:tcPr>
            <w:tcW w:w="851" w:type="dxa"/>
            <w:tcBorders>
              <w:top w:val="nil"/>
              <w:left w:val="nil"/>
              <w:bottom w:val="single" w:color="auto" w:sz="4" w:space="0"/>
              <w:right w:val="single" w:color="auto" w:sz="4" w:space="0"/>
            </w:tcBorders>
            <w:noWrap/>
            <w:vAlign w:val="bottom"/>
          </w:tcPr>
          <w:p w14:paraId="0F6D3FD8">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15%</w:t>
            </w:r>
          </w:p>
        </w:tc>
        <w:tc>
          <w:tcPr>
            <w:tcW w:w="995" w:type="dxa"/>
            <w:tcBorders>
              <w:top w:val="nil"/>
              <w:left w:val="nil"/>
              <w:bottom w:val="single" w:color="auto" w:sz="4" w:space="0"/>
              <w:right w:val="single" w:color="auto" w:sz="4" w:space="0"/>
            </w:tcBorders>
            <w:noWrap/>
            <w:vAlign w:val="bottom"/>
          </w:tcPr>
          <w:p w14:paraId="71D6B9D6">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16%</w:t>
            </w:r>
          </w:p>
        </w:tc>
      </w:tr>
    </w:tbl>
    <w:p w14:paraId="39E4FD13">
      <w:pPr>
        <w:pStyle w:val="27"/>
        <w:ind w:left="0" w:leftChars="0" w:firstLine="0" w:firstLineChars="0"/>
        <w:rPr>
          <w:sz w:val="32"/>
          <w:szCs w:val="28"/>
        </w:rPr>
      </w:pPr>
    </w:p>
    <w:p w14:paraId="10C5B65A">
      <w:pPr>
        <w:pStyle w:val="37"/>
      </w:pPr>
      <w:bookmarkStart w:id="64" w:name="BKCKWX"/>
      <w:bookmarkStart w:id="65" w:name="_Toc17878131"/>
      <w:bookmarkStart w:id="66" w:name="_Toc205400314"/>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64"/>
      <w:bookmarkEnd w:id="65"/>
      <w:bookmarkEnd w:id="66"/>
    </w:p>
    <w:p w14:paraId="64673136">
      <w:pPr>
        <w:pStyle w:val="27"/>
      </w:pPr>
      <w:r>
        <w:rPr>
          <w:rFonts w:hint="eastAsia"/>
        </w:rPr>
        <w:t>[1] GB/T 41867-2022 信息技术 人工智能 术语</w:t>
      </w:r>
    </w:p>
    <w:p w14:paraId="72B4B545">
      <w:pPr>
        <w:pStyle w:val="27"/>
      </w:pPr>
      <w:r>
        <w:rPr>
          <w:rFonts w:hint="eastAsia"/>
        </w:rPr>
        <w:t>[2] YD/T 4316-2023 面向智慧城市应用的人工智能服务能力开放技术要求</w:t>
      </w:r>
    </w:p>
    <w:p w14:paraId="7F586817">
      <w:pPr>
        <w:pStyle w:val="27"/>
      </w:pPr>
      <w:r>
        <w:rPr>
          <w:rFonts w:hint="eastAsia"/>
        </w:rPr>
        <w:t>[3] YD/T 3944-2021 人工智能芯片基准测试评估方法</w:t>
      </w:r>
    </w:p>
    <w:p w14:paraId="3DAB4AC3">
      <w:pPr>
        <w:pStyle w:val="27"/>
      </w:pPr>
      <w:r>
        <w:rPr>
          <w:rFonts w:hint="eastAsia"/>
        </w:rPr>
        <w:t>[4] GB/T35273—2020 信息安全技术 个人信息安全规范</w:t>
      </w:r>
    </w:p>
    <w:p w14:paraId="56C2474E">
      <w:pPr>
        <w:pStyle w:val="27"/>
      </w:pPr>
      <w:r>
        <w:rPr>
          <w:rFonts w:hint="eastAsia"/>
        </w:rPr>
        <w:t>[5] GB/T40660—2021 信息安全技术 生物特征识别信息保护基本要求</w:t>
      </w:r>
    </w:p>
    <w:p w14:paraId="38ED94D2">
      <w:pPr>
        <w:pStyle w:val="27"/>
      </w:pPr>
      <w:r>
        <w:rPr>
          <w:rFonts w:hint="eastAsia"/>
        </w:rPr>
        <w:t>[6] GB/T45225—2025 人工智能 深度学习算法评估</w:t>
      </w:r>
    </w:p>
    <w:p w14:paraId="6B533F33">
      <w:pPr>
        <w:pStyle w:val="27"/>
      </w:pPr>
      <w:r>
        <w:rPr>
          <w:rFonts w:hint="eastAsia"/>
        </w:rPr>
        <w:t>[</w:t>
      </w:r>
      <w:r>
        <w:t>7</w:t>
      </w:r>
      <w:r>
        <w:rPr>
          <w:rFonts w:hint="eastAsia"/>
        </w:rPr>
        <w:t>] GB/T 42755—2023 人工智能 面向机器学习的数据标注规程 英文标准名称</w:t>
      </w:r>
    </w:p>
    <w:p w14:paraId="1B55EFDD">
      <w:pPr>
        <w:pStyle w:val="27"/>
        <w:keepNext/>
        <w:keepLines/>
        <w:pageBreakBefore w:val="0"/>
        <w:widowControl/>
        <w:kinsoku/>
        <w:wordWrap/>
        <w:overflowPunct/>
        <w:topLinePunct w:val="0"/>
        <w:autoSpaceDE w:val="0"/>
        <w:autoSpaceDN w:val="0"/>
        <w:bidi w:val="0"/>
        <w:adjustRightInd/>
        <w:snapToGrid/>
        <w:textAlignment w:val="auto"/>
      </w:pPr>
    </w:p>
    <w:p w14:paraId="4F68E8AB">
      <w:pPr>
        <w:pStyle w:val="6"/>
        <w:keepNext w:val="0"/>
        <w:keepLines/>
        <w:pageBreakBefore w:val="0"/>
        <w:widowControl/>
        <w:shd w:val="clear" w:color="auto" w:fill="FFFFFF"/>
        <w:kinsoku/>
        <w:wordWrap/>
        <w:overflowPunct/>
        <w:topLinePunct w:val="0"/>
        <w:autoSpaceDE/>
        <w:autoSpaceDN/>
        <w:bidi w:val="0"/>
        <w:adjustRightInd/>
        <w:snapToGrid/>
        <w:spacing w:beforeAutospacing="0" w:afterAutospacing="0"/>
        <w:jc w:val="both"/>
        <w:textAlignment w:val="baseline"/>
        <w:rPr>
          <w:rFonts w:ascii="微软雅黑" w:hAnsi="微软雅黑" w:eastAsia="微软雅黑" w:cs="微软雅黑"/>
          <w:sz w:val="15"/>
          <w:szCs w:val="15"/>
          <w:shd w:val="clear" w:color="auto" w:fill="FFFFFF"/>
        </w:rPr>
      </w:pPr>
      <w:r>
        <w:rPr>
          <w:sz w:val="15"/>
        </w:rPr>
        <mc:AlternateContent>
          <mc:Choice Requires="wps">
            <w:drawing>
              <wp:anchor distT="0" distB="0" distL="114300" distR="114300" simplePos="0" relativeHeight="251664384" behindDoc="0" locked="0" layoutInCell="1" allowOverlap="1">
                <wp:simplePos x="0" y="0"/>
                <wp:positionH relativeFrom="column">
                  <wp:posOffset>1668145</wp:posOffset>
                </wp:positionH>
                <wp:positionV relativeFrom="paragraph">
                  <wp:posOffset>450215</wp:posOffset>
                </wp:positionV>
                <wp:extent cx="1887855" cy="0"/>
                <wp:effectExtent l="0" t="4445" r="0" b="5080"/>
                <wp:wrapNone/>
                <wp:docPr id="16" name="直接连接符 16"/>
                <wp:cNvGraphicFramePr/>
                <a:graphic xmlns:a="http://schemas.openxmlformats.org/drawingml/2006/main">
                  <a:graphicData uri="http://schemas.microsoft.com/office/word/2010/wordprocessingShape">
                    <wps:wsp>
                      <wps:cNvCnPr/>
                      <wps:spPr>
                        <a:xfrm>
                          <a:off x="2455545" y="3945890"/>
                          <a:ext cx="188785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1.35pt;margin-top:35.45pt;height:0pt;width:148.65pt;z-index:251664384;mso-width-relative:page;mso-height-relative:page;" filled="f" stroked="t" coordsize="21600,21600" o:gfxdata="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SGFBLXAAAACQEAAA8AAAAAAAAAAQAgAAAAIgAAAGRycy9kb3ducmV2LnhtbFBLAQIUABQA&#10;AAAIAIdO4kD+iSQM8QEAAL8DAAAOAAAAAAAAAAEAIAAAACYBAABkcnMvZTJvRG9jLnhtbFBLBQYA&#10;AAAABgAGAFkBAACJBQAAAAA=&#10;">
                <v:fill on="f" focussize="0,0"/>
                <v:stroke color="#000000 [3213]" miterlimit="8" joinstyle="miter"/>
                <v:imagedata o:title=""/>
                <o:lock v:ext="edit" aspectratio="f"/>
              </v:line>
            </w:pict>
          </mc:Fallback>
        </mc:AlternateContent>
      </w:r>
    </w:p>
    <w:sectPr>
      <w:headerReference r:id="rId9" w:type="default"/>
      <w:footerReference r:id="rId10" w:type="default"/>
      <w:pgSz w:w="11906" w:h="16838"/>
      <w:pgMar w:top="1440" w:right="1440" w:bottom="1440" w:left="1440" w:header="1418" w:footer="1134" w:gutter="0"/>
      <w:pgNumType w:fmt="decimal"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9" w:usb3="00000000" w:csb0="400001FF" w:csb1="FFFF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BC995">
    <w:pPr>
      <w:pStyle w:val="41"/>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5584">
    <w:pPr>
      <w:pStyle w:val="42"/>
    </w:pPr>
    <w:r>
      <w:fldChar w:fldCharType="begin"/>
    </w:r>
    <w:r>
      <w:instrText xml:space="preserve"> PAGE  \* MERGEFORMAT </w:instrText>
    </w:r>
    <w:r>
      <w:fldChar w:fldCharType="separate"/>
    </w:r>
    <w: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FB50">
    <w:pPr>
      <w:pStyle w:val="41"/>
    </w:pPr>
    <w:r>
      <w:fldChar w:fldCharType="begin"/>
    </w:r>
    <w:r>
      <w:instrText xml:space="preserve"> PAGE  \* MERGEFORMAT </w:instrText>
    </w:r>
    <w:r>
      <w:fldChar w:fldCharType="separate"/>
    </w:r>
    <w: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F11A">
    <w:pPr>
      <w:pStyle w:val="4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4EE381">
                          <w:pPr>
                            <w:pStyle w:val="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5B4EE381">
                    <w:pPr>
                      <w:pStyle w:val="2"/>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871C1">
    <w:pPr>
      <w:pStyle w:val="39"/>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D45E">
    <w:pPr>
      <w:pStyle w:val="40"/>
    </w:pPr>
    <w: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40B98">
    <w:pPr>
      <w:pStyle w:val="39"/>
    </w:pPr>
    <w:r>
      <w:t>DB11/T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B6479">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A8F7113"/>
    <w:multiLevelType w:val="multilevel"/>
    <w:tmpl w:val="2A8F7113"/>
    <w:lvl w:ilvl="0" w:tentative="0">
      <w:start w:val="1"/>
      <w:numFmt w:val="upperLetter"/>
      <w:pStyle w:val="33"/>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60B55DC2"/>
    <w:multiLevelType w:val="multilevel"/>
    <w:tmpl w:val="60B55DC2"/>
    <w:lvl w:ilvl="0" w:tentative="0">
      <w:start w:val="1"/>
      <w:numFmt w:val="upperLetter"/>
      <w:pStyle w:val="34"/>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657D3FBC"/>
    <w:multiLevelType w:val="multilevel"/>
    <w:tmpl w:val="657D3FBC"/>
    <w:lvl w:ilvl="0" w:tentative="0">
      <w:start w:val="1"/>
      <w:numFmt w:val="upperLetter"/>
      <w:pStyle w:val="3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6"/>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5F"/>
    <w:rsid w:val="000824E2"/>
    <w:rsid w:val="002A5C73"/>
    <w:rsid w:val="005656E5"/>
    <w:rsid w:val="006915A8"/>
    <w:rsid w:val="007347C3"/>
    <w:rsid w:val="00770ED8"/>
    <w:rsid w:val="00A317F2"/>
    <w:rsid w:val="00F1025F"/>
    <w:rsid w:val="0236205E"/>
    <w:rsid w:val="02530658"/>
    <w:rsid w:val="02D844B5"/>
    <w:rsid w:val="049C60DA"/>
    <w:rsid w:val="05622C64"/>
    <w:rsid w:val="0A38344E"/>
    <w:rsid w:val="0A60541B"/>
    <w:rsid w:val="104A5783"/>
    <w:rsid w:val="17796EF4"/>
    <w:rsid w:val="18FC6C57"/>
    <w:rsid w:val="1E5443A0"/>
    <w:rsid w:val="20D17431"/>
    <w:rsid w:val="23737B15"/>
    <w:rsid w:val="24FA2174"/>
    <w:rsid w:val="2B566DA9"/>
    <w:rsid w:val="332345F9"/>
    <w:rsid w:val="33BF73F5"/>
    <w:rsid w:val="372A4537"/>
    <w:rsid w:val="39111E53"/>
    <w:rsid w:val="395138A8"/>
    <w:rsid w:val="39E10598"/>
    <w:rsid w:val="3B38632C"/>
    <w:rsid w:val="3CC04033"/>
    <w:rsid w:val="3D8C7CFA"/>
    <w:rsid w:val="419B2D08"/>
    <w:rsid w:val="441B3B85"/>
    <w:rsid w:val="4C171438"/>
    <w:rsid w:val="4E781D55"/>
    <w:rsid w:val="4F0F42E7"/>
    <w:rsid w:val="51D931E6"/>
    <w:rsid w:val="53755060"/>
    <w:rsid w:val="556A04C9"/>
    <w:rsid w:val="558E2409"/>
    <w:rsid w:val="575D43AA"/>
    <w:rsid w:val="585D7471"/>
    <w:rsid w:val="58E06751"/>
    <w:rsid w:val="58E8480B"/>
    <w:rsid w:val="5A156465"/>
    <w:rsid w:val="612135A9"/>
    <w:rsid w:val="63EA5DC5"/>
    <w:rsid w:val="67220C03"/>
    <w:rsid w:val="67B83316"/>
    <w:rsid w:val="687D4C24"/>
    <w:rsid w:val="68C3453A"/>
    <w:rsid w:val="6C413CF9"/>
    <w:rsid w:val="6D696248"/>
    <w:rsid w:val="72443DC8"/>
    <w:rsid w:val="75864A53"/>
    <w:rsid w:val="77E84830"/>
    <w:rsid w:val="782347DB"/>
    <w:rsid w:val="785B3F75"/>
    <w:rsid w:val="7CC66763"/>
    <w:rsid w:val="7FA5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qFormat/>
    <w:uiPriority w:val="39"/>
    <w:pPr>
      <w:tabs>
        <w:tab w:val="right" w:leader="dot" w:pos="9241"/>
      </w:tabs>
      <w:spacing w:beforeLines="25" w:afterLines="25"/>
      <w:jc w:val="left"/>
    </w:pPr>
    <w:rPr>
      <w:rFonts w:ascii="宋体"/>
      <w:szCs w:val="21"/>
    </w:rPr>
  </w:style>
  <w:style w:type="paragraph" w:styleId="5">
    <w:name w:val="toc 2"/>
    <w:basedOn w:val="1"/>
    <w:next w:val="1"/>
    <w:qFormat/>
    <w:uiPriority w:val="39"/>
    <w:pPr>
      <w:tabs>
        <w:tab w:val="right" w:leader="dot" w:pos="9241"/>
      </w:tabs>
    </w:pPr>
    <w:rPr>
      <w:rFonts w:ascii="宋体"/>
      <w:szCs w:val="21"/>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2">
    <w:name w:val="其他标准标志"/>
    <w:basedOn w:val="13"/>
    <w:autoRedefine/>
    <w:qFormat/>
    <w:uiPriority w:val="0"/>
    <w:pPr>
      <w:framePr w:w="6101" w:wrap="around" w:vAnchor="page" w:hAnchor="page" w:x="4673" w:y="942"/>
    </w:pPr>
    <w:rPr>
      <w:w w:val="130"/>
    </w:rPr>
  </w:style>
  <w:style w:type="paragraph" w:customStyle="1" w:styleId="1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
    <w:name w:val="封面标准号2"/>
    <w:autoRedefine/>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16">
    <w:name w:val="封面标准代替信息"/>
    <w:autoRedefine/>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7">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
    <w:name w:val="封面标准英文名称"/>
    <w:basedOn w:val="17"/>
    <w:autoRedefine/>
    <w:qFormat/>
    <w:uiPriority w:val="0"/>
    <w:pPr>
      <w:framePr w:wrap="around" w:vAnchor="margin" w:hAnchor="text" w:y="1"/>
      <w:spacing w:before="370" w:line="400" w:lineRule="exact"/>
    </w:pPr>
    <w:rPr>
      <w:rFonts w:ascii="Times New Roman"/>
      <w:sz w:val="28"/>
      <w:szCs w:val="28"/>
    </w:rPr>
  </w:style>
  <w:style w:type="paragraph" w:customStyle="1" w:styleId="19">
    <w:name w:val="封面一致性程度标识"/>
    <w:basedOn w:val="18"/>
    <w:autoRedefine/>
    <w:qFormat/>
    <w:uiPriority w:val="0"/>
    <w:pPr>
      <w:framePr w:wrap="around"/>
      <w:spacing w:before="440"/>
    </w:pPr>
    <w:rPr>
      <w:rFonts w:ascii="宋体" w:eastAsia="宋体"/>
    </w:rPr>
  </w:style>
  <w:style w:type="paragraph" w:customStyle="1" w:styleId="20">
    <w:name w:val="封面标准文稿类别"/>
    <w:basedOn w:val="19"/>
    <w:autoRedefine/>
    <w:qFormat/>
    <w:uiPriority w:val="0"/>
    <w:pPr>
      <w:framePr w:wrap="around"/>
      <w:spacing w:after="160" w:line="240" w:lineRule="auto"/>
    </w:pPr>
    <w:rPr>
      <w:sz w:val="24"/>
    </w:rPr>
  </w:style>
  <w:style w:type="paragraph" w:customStyle="1" w:styleId="21">
    <w:name w:val="封面标准文稿编辑信息"/>
    <w:basedOn w:val="20"/>
    <w:autoRedefine/>
    <w:qFormat/>
    <w:uiPriority w:val="0"/>
    <w:pPr>
      <w:framePr w:wrap="around"/>
      <w:spacing w:before="180" w:line="180" w:lineRule="exact"/>
    </w:pPr>
    <w:rPr>
      <w:sz w:val="21"/>
    </w:rPr>
  </w:style>
  <w:style w:type="paragraph" w:customStyle="1" w:styleId="22">
    <w:name w:val="其他发布日期"/>
    <w:autoRedefine/>
    <w:qFormat/>
    <w:uiPriority w:val="0"/>
    <w:rPr>
      <w:rFonts w:ascii="Times New Roman" w:hAnsi="Times New Roman" w:eastAsia="黑体" w:cs="Times New Roman"/>
      <w:sz w:val="28"/>
      <w:lang w:val="en-US" w:eastAsia="zh-CN" w:bidi="ar-SA"/>
    </w:rPr>
  </w:style>
  <w:style w:type="paragraph" w:customStyle="1" w:styleId="23">
    <w:name w:val="其他实施日期"/>
    <w:basedOn w:val="24"/>
    <w:autoRedefine/>
    <w:qFormat/>
    <w:uiPriority w:val="0"/>
    <w:pPr>
      <w:framePr w:wrap="around" w:vAnchor="margin" w:hAnchor="text" w:y="1"/>
    </w:pPr>
  </w:style>
  <w:style w:type="paragraph" w:customStyle="1" w:styleId="24">
    <w:name w:val="实施日期"/>
    <w:autoRedefine/>
    <w:qFormat/>
    <w:uiPriority w:val="0"/>
    <w:pPr>
      <w:jc w:val="right"/>
    </w:pPr>
    <w:rPr>
      <w:rFonts w:ascii="Times New Roman" w:hAnsi="Times New Roman" w:eastAsia="黑体" w:cs="Times New Roman"/>
      <w:sz w:val="28"/>
      <w:lang w:val="en-US" w:eastAsia="zh-CN" w:bidi="ar-SA"/>
    </w:rPr>
  </w:style>
  <w:style w:type="paragraph" w:customStyle="1" w:styleId="25">
    <w:name w:val="其他发布部门"/>
    <w:basedOn w:val="26"/>
    <w:autoRedefine/>
    <w:qFormat/>
    <w:uiPriority w:val="0"/>
    <w:pPr>
      <w:framePr w:wrap="around" w:y="15310"/>
      <w:spacing w:line="0" w:lineRule="atLeast"/>
    </w:pPr>
    <w:rPr>
      <w:rFonts w:ascii="黑体" w:eastAsia="黑体"/>
      <w:b w:val="0"/>
    </w:rPr>
  </w:style>
  <w:style w:type="paragraph" w:customStyle="1" w:styleId="26">
    <w:name w:val="发布部门"/>
    <w:next w:val="27"/>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7">
    <w:name w:val="段"/>
    <w:autoRedefine/>
    <w:qFormat/>
    <w:uiPriority w:val="0"/>
    <w:pPr>
      <w:tabs>
        <w:tab w:val="center" w:pos="4201"/>
        <w:tab w:val="right" w:leader="dot" w:pos="9298"/>
      </w:tabs>
      <w:autoSpaceDE w:val="0"/>
      <w:autoSpaceDN w:val="0"/>
      <w:ind w:left="210" w:leftChars="100" w:right="210" w:rightChars="100" w:firstLine="420" w:firstLineChars="200"/>
      <w:jc w:val="both"/>
    </w:pPr>
    <w:rPr>
      <w:rFonts w:ascii="宋体" w:hAnsi="Times New Roman" w:eastAsia="宋体" w:cs="Times New Roman"/>
      <w:sz w:val="21"/>
      <w:lang w:val="en-US" w:eastAsia="zh-CN" w:bidi="ar-SA"/>
    </w:rPr>
  </w:style>
  <w:style w:type="character" w:customStyle="1" w:styleId="28">
    <w:name w:val="发布"/>
    <w:autoRedefine/>
    <w:qFormat/>
    <w:uiPriority w:val="0"/>
    <w:rPr>
      <w:rFonts w:ascii="黑体" w:eastAsia="黑体"/>
      <w:spacing w:val="85"/>
      <w:w w:val="100"/>
      <w:position w:val="3"/>
      <w:sz w:val="28"/>
      <w:szCs w:val="28"/>
    </w:rPr>
  </w:style>
  <w:style w:type="paragraph" w:customStyle="1" w:styleId="29">
    <w:name w:val="目次、标准名称标题"/>
    <w:basedOn w:val="1"/>
    <w:next w:val="27"/>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0">
    <w:name w:val="前言、引言标题"/>
    <w:next w:val="27"/>
    <w:autoRedefine/>
    <w:qFormat/>
    <w:uiPriority w:val="0"/>
    <w:pPr>
      <w:keepNext/>
      <w:pageBreakBefore/>
      <w:shd w:val="clear" w:color="FFFFFF" w:fill="FFFFFF"/>
      <w:tabs>
        <w:tab w:val="left" w:pos="653"/>
        <w:tab w:val="center" w:pos="4677"/>
      </w:tabs>
      <w:spacing w:before="640" w:after="560"/>
      <w:jc w:val="center"/>
      <w:outlineLvl w:val="0"/>
    </w:pPr>
    <w:rPr>
      <w:rFonts w:ascii="黑体" w:hAnsi="Times New Roman" w:eastAsia="黑体" w:cs="Times New Roman"/>
      <w:sz w:val="32"/>
      <w:lang w:val="en-US" w:eastAsia="zh-CN" w:bidi="ar-SA"/>
    </w:rPr>
  </w:style>
  <w:style w:type="paragraph" w:customStyle="1" w:styleId="31">
    <w:name w:val="章标题"/>
    <w:next w:val="27"/>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附录图标号"/>
    <w:basedOn w:val="1"/>
    <w:autoRedefine/>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4">
    <w:name w:val="附录表标号"/>
    <w:basedOn w:val="1"/>
    <w:next w:val="27"/>
    <w:autoRedefine/>
    <w:qFormat/>
    <w:uiPriority w:val="0"/>
    <w:pPr>
      <w:numPr>
        <w:ilvl w:val="0"/>
        <w:numId w:val="3"/>
      </w:numPr>
      <w:spacing w:line="14" w:lineRule="exact"/>
      <w:ind w:left="811" w:hanging="448"/>
      <w:jc w:val="center"/>
      <w:outlineLvl w:val="0"/>
    </w:pPr>
    <w:rPr>
      <w:color w:val="FFFFFF"/>
    </w:rPr>
  </w:style>
  <w:style w:type="paragraph" w:customStyle="1" w:styleId="35">
    <w:name w:val="附录标识"/>
    <w:basedOn w:val="1"/>
    <w:next w:val="27"/>
    <w:autoRedefine/>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6">
    <w:name w:val="附录章标题"/>
    <w:next w:val="27"/>
    <w:autoRedefine/>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7">
    <w:name w:val="参考文献"/>
    <w:basedOn w:val="1"/>
    <w:next w:val="27"/>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38">
    <w:name w:val="终结线"/>
    <w:basedOn w:val="1"/>
    <w:autoRedefine/>
    <w:qFormat/>
    <w:uiPriority w:val="0"/>
    <w:pPr>
      <w:framePr w:hSpace="181" w:vSpace="181" w:wrap="around" w:vAnchor="text" w:hAnchor="margin" w:xAlign="center" w:y="285"/>
    </w:pPr>
  </w:style>
  <w:style w:type="paragraph" w:customStyle="1" w:styleId="39">
    <w:name w:val="标准书眉_偶数页"/>
    <w:basedOn w:val="40"/>
    <w:next w:val="1"/>
    <w:autoRedefine/>
    <w:qFormat/>
    <w:uiPriority w:val="0"/>
    <w:pPr>
      <w:tabs>
        <w:tab w:val="center" w:pos="4154"/>
        <w:tab w:val="right" w:pos="8306"/>
      </w:tabs>
      <w:jc w:val="left"/>
    </w:pPr>
  </w:style>
  <w:style w:type="paragraph" w:customStyle="1" w:styleId="4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1">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42">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5364</Words>
  <Characters>5830</Characters>
  <Lines>319</Lines>
  <Paragraphs>374</Paragraphs>
  <TotalTime>11</TotalTime>
  <ScaleCrop>false</ScaleCrop>
  <LinksUpToDate>false</LinksUpToDate>
  <CharactersWithSpaces>6035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2025-09-09T06:22:00Z</dcterms:created>
  <dc:creator>董文储</dc:creator>
  <cp:lastModifiedBy>微信用户</cp:lastModifiedBy>
  <dcterms:modified xsi:type="dcterms:W3CDTF">2025-09-16T11:02:48Z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eyJoZGlkIjoiMzEwNTM5NzYwMDRjMzkwZTVkZjY2ODkwMGIxNGU0OTUiLCJ1c2VySWQiOiIxMzY2MzYzODcwIn0=</vt:lpwstr>
  </property>
  <property fmtid="{D5CDD505-2E9C-101B-9397-08002B2CF9AE}" pid="4" name="ICV">
    <vt:lpwstr>68155BDC29B74B2790D3297B009A6A4B_13</vt:lpwstr>
  </property>
</Properties>
</file>