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E053">
      <w:pPr>
        <w:pStyle w:val="14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667391BF">
      <w:pPr>
        <w:pStyle w:val="14"/>
        <w:ind w:firstLine="640"/>
        <w:rPr>
          <w:rFonts w:ascii="黑体" w:hAnsi="黑体" w:eastAsia="黑体"/>
        </w:rPr>
      </w:pPr>
    </w:p>
    <w:p w14:paraId="71130BDE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北京市关于加快构建科技金融体制 有力支撑高水平科技自立自强的实施方案</w:t>
      </w:r>
    </w:p>
    <w:p w14:paraId="177A6836"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（2025-2027年）起草说明</w:t>
      </w:r>
    </w:p>
    <w:p w14:paraId="239D8D57">
      <w:pPr>
        <w:pStyle w:val="14"/>
        <w:ind w:firstLine="640"/>
        <w:rPr>
          <w:rFonts w:ascii="黑体" w:hAnsi="黑体" w:eastAsia="黑体"/>
        </w:rPr>
      </w:pPr>
    </w:p>
    <w:p w14:paraId="468AB9DC">
      <w:pPr>
        <w:spacing w:after="0" w:line="560" w:lineRule="exact"/>
        <w:ind w:left="640"/>
        <w:outlineLvl w:val="0"/>
        <w:rPr>
          <w:rFonts w:ascii="黑体" w:hAnsi="黑体" w:eastAsia="黑体" w:cs="黑体"/>
          <w:sz w:val="32"/>
          <w:szCs w:val="32"/>
        </w:rPr>
      </w:pPr>
      <w:bookmarkStart w:id="0" w:name="_Toc181802655"/>
      <w:bookmarkStart w:id="1" w:name="_Toc1100951026_WPSOffice_Level1"/>
      <w:r>
        <w:rPr>
          <w:rFonts w:hint="eastAsia" w:ascii="黑体" w:hAnsi="黑体" w:eastAsia="黑体" w:cs="黑体"/>
          <w:sz w:val="32"/>
          <w:szCs w:val="32"/>
        </w:rPr>
        <w:t>一、起草背景</w:t>
      </w:r>
      <w:bookmarkEnd w:id="0"/>
      <w:bookmarkEnd w:id="1"/>
    </w:p>
    <w:p w14:paraId="08C7279F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为落实科技部、中国人民银行等七部委《加快构建科技金融体制 有力支撑高水平科技自立自强的若干政策举措》（以下简称《若干政策举措》）的要求，加快构建北京市科技金融体制机制，扎实推进北京国际科技创新中心建设，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北京市科委、中关村管委会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会同中国人民银行北京市分行以及市相关单位、金融监管部门研究起草了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北京市关于加快构建科技金融体制 有力支撑高水平科技自立自强的实施方案（2025-2027年）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》（征求意见稿，以下简称《实施方案》）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987A21">
      <w:pPr>
        <w:spacing w:after="0" w:line="560" w:lineRule="exact"/>
        <w:ind w:left="64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2" w:name="_Toc181802656"/>
      <w:bookmarkStart w:id="3" w:name="_Toc23857395_WPSOffice_Level1"/>
      <w:r>
        <w:rPr>
          <w:rFonts w:hint="eastAsia" w:ascii="黑体" w:hAnsi="黑体" w:eastAsia="黑体" w:cs="黑体"/>
          <w:sz w:val="32"/>
          <w:szCs w:val="32"/>
          <w:lang w:eastAsia="zh-CN"/>
        </w:rPr>
        <w:t>二、制定原则</w:t>
      </w:r>
    </w:p>
    <w:p w14:paraId="0070477E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一是坚持精准施策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将国家政策“本土化”与本市实践经验“制度化”相结合，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</w:rPr>
        <w:t>破解科创企业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融资难点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问题。</w:t>
      </w:r>
    </w:p>
    <w:p w14:paraId="2D180C0B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二是强化增量牵引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聚焦创业投资、银行信贷、资本市场、科技保险、债券发行等领域，推动我市加大引入科技金融增量投入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A2B533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三是构建闭环体系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建立“目标量化—实施推进—统计评估”全链条管理机制，设定量化指标，实现政策举措的闭环管理。</w:t>
      </w:r>
    </w:p>
    <w:p w14:paraId="7F27F73F">
      <w:pPr>
        <w:spacing w:after="0" w:line="560" w:lineRule="exact"/>
        <w:ind w:firstLine="640" w:firstLineChars="200"/>
        <w:rPr>
          <w:rFonts w:ascii="仿宋_GB2312" w:hAnsi="仿宋_GB2312" w:eastAsia="仿宋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依托中关村先行先试制度优势，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努力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相匹配的金融生态创新范式。</w:t>
      </w:r>
      <w:bookmarkEnd w:id="2"/>
      <w:bookmarkEnd w:id="3"/>
      <w:bookmarkStart w:id="4" w:name="_Toc380267856_WPSOffice_Level1"/>
    </w:p>
    <w:p w14:paraId="77CDE1AC">
      <w:pPr>
        <w:spacing w:after="0" w:line="560" w:lineRule="exact"/>
        <w:ind w:left="640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5" w:name="_Toc181802657"/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、主要内容</w:t>
      </w:r>
      <w:bookmarkEnd w:id="4"/>
      <w:bookmarkEnd w:id="5"/>
      <w:r>
        <w:rPr>
          <w:rFonts w:hint="eastAsia" w:ascii="黑体" w:hAnsi="黑体" w:eastAsia="黑体" w:cs="黑体"/>
          <w:sz w:val="32"/>
          <w:szCs w:val="32"/>
          <w:lang w:eastAsia="zh-CN"/>
        </w:rPr>
        <w:t>举措</w:t>
      </w:r>
    </w:p>
    <w:p w14:paraId="0B469B60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《实施方案》</w:t>
      </w:r>
      <w:r>
        <w:rPr>
          <w:rFonts w:hint="eastAsia" w:ascii="仿宋_GB2312" w:hAnsi="仿宋_GB2312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八</w:t>
      </w:r>
      <w:r>
        <w:rPr>
          <w:rFonts w:hint="eastAsia" w:ascii="仿宋_GB2312" w:hAnsi="仿宋_GB2312" w:eastAsia="仿宋_GB2312" w:cs="Times New Roman"/>
          <w:sz w:val="32"/>
          <w:szCs w:val="32"/>
        </w:rPr>
        <w:t>部分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条：</w:t>
      </w:r>
    </w:p>
    <w:p w14:paraId="629D9792">
      <w:pPr>
        <w:pStyle w:val="6"/>
        <w:spacing w:after="0" w:line="560" w:lineRule="exact"/>
        <w:ind w:firstLine="640" w:firstLineChars="200"/>
        <w:rPr>
          <w:rFonts w:ascii="仿宋_GB2312" w:hAnsi="仿宋_GB2312" w:eastAsia="仿宋_GB2312" w:cs="仿宋_GB2312"/>
          <w:b w:val="0"/>
          <w:bCs/>
          <w:sz w:val="32"/>
          <w:szCs w:val="32"/>
          <w:u w:val="single"/>
        </w:rPr>
      </w:pPr>
      <w:bookmarkStart w:id="6" w:name="_Toc181802660"/>
      <w:r>
        <w:rPr>
          <w:rStyle w:val="18"/>
          <w:rFonts w:hint="eastAsia" w:ascii="楷体_GB2312" w:hAnsi="楷体_GB2312" w:eastAsia="楷体_GB2312" w:cs="楷体_GB2312"/>
          <w:b w:val="0"/>
          <w:bCs/>
          <w:snapToGrid w:val="0"/>
          <w:kern w:val="0"/>
          <w:sz w:val="32"/>
          <w:szCs w:val="32"/>
        </w:rPr>
        <w:t>（一）总体目标。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到2027年底，科技创新领域引入长期资本、耐心资本等在京新设基金规模力争超万亿元；科技贷款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和科技型企业贷款</w:t>
      </w:r>
      <w:r>
        <w:rPr>
          <w:rStyle w:val="13"/>
          <w:rFonts w:hint="eastAsia" w:ascii="仿宋_GB2312" w:hAnsi="仿宋_GB2312" w:eastAsia="仿宋_GB2312" w:cs="仿宋_GB2312"/>
          <w:b w:val="0"/>
          <w:bCs/>
          <w:sz w:val="32"/>
          <w:szCs w:val="32"/>
        </w:rPr>
        <w:footnoteReference w:id="1"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余额分别突破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"/>
        </w:rPr>
        <w:t>5.5万亿元和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2.5万亿元，年均增速高于全国平均水平；推动科技创新债券、科技保险、科技型企业上市和不动产投资信托基金发行规模位居全国前列。</w:t>
      </w:r>
    </w:p>
    <w:p w14:paraId="63448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（二）发挥创业投资支持科技创新生力军作用（五条举措）。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包括：争取各类国家级基金在京落地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深化金融资产投资公司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AIC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股权投资试点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、支持长期资本在京扩大股权投资规模、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促进创业投资和股权投资高质量发展、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健全创业投资退出渠道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。提出：</w:t>
      </w:r>
      <w:r>
        <w:rPr>
          <w:rFonts w:hint="eastAsia" w:ascii="仿宋_GB2312" w:hAnsi="仿宋_GB2312" w:eastAsia="仿宋_GB2312" w:cs="仿宋_GB2312"/>
          <w:sz w:val="32"/>
          <w:szCs w:val="40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</w:rPr>
        <w:t>国家创业投资引导基金京津冀区域基金、国家中小企业发展基金二期等在京落地；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力争到2027年底AIC在京合作基金总规模不低于500亿元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等亮点举措。</w:t>
      </w:r>
    </w:p>
    <w:p w14:paraId="09A0B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（三）发挥货币信贷支持科技创新的重要作用（五条举措）。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用好用足结构性货币政策工具、优化科技型企业评价模型、推动银行丰富科技信贷创新产品、推动科技金融专营化专业化发展、深化中关村科创金融服务中心试点。提出：建立“中关村领航积分”评价模型；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2027年底在中关村科创金融服务中心开展的各项业务贷款余额不低于1000亿元等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亮点</w:t>
      </w:r>
      <w:r>
        <w:rPr>
          <w:rFonts w:hint="eastAsia" w:ascii="仿宋_GB2312" w:hAnsi="仿宋_GB2312" w:eastAsia="仿宋_GB2312" w:cs="仿宋_GB2312"/>
          <w:sz w:val="32"/>
          <w:szCs w:val="32"/>
        </w:rPr>
        <w:t>举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措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。</w:t>
      </w:r>
    </w:p>
    <w:p w14:paraId="4C00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（四）发挥资本市场支持科技创新的关键枢纽作用（三条举措）。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包括：加大力度支持优质科技型企业挂牌上市、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打造债券“中关村科技板”、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提高REITs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（不动产信托投资基金）</w:t>
      </w:r>
      <w:r>
        <w:rPr>
          <w:rFonts w:hint="eastAsia" w:ascii="仿宋_GB2312" w:hAnsi="仿宋_GB2312" w:eastAsia="仿宋_GB2312" w:cs="仿宋_GB2312"/>
          <w:sz w:val="32"/>
          <w:szCs w:val="32"/>
        </w:rPr>
        <w:t>发行数量及规模。提出：支持新型基础设施、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中关村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特色产业园REITs储备、发行、扩募等亮点举措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。</w:t>
      </w:r>
    </w:p>
    <w:p w14:paraId="1F8B4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（五）发挥科技保险支持创新的减震器和稳定器作用（一条举措）。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包括：推动科技保险产品和服务创新。提出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：研究在智能驾驶、人形机器人、生物医药等领域组建重大科技攻关保险共同体等亮点举措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3D74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（六）加强财政政策对科技金融的引导和支持（一条举措）。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包括：发挥财政资金放大和引导作用。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提出：发挥政府投资基金</w:t>
      </w:r>
      <w:r>
        <w:rPr>
          <w:rFonts w:hint="eastAsia" w:hAnsi="仿宋_GB2312" w:eastAsia="仿宋_GB2312" w:cs="仿宋_GB2312"/>
          <w:kern w:val="0"/>
          <w:sz w:val="32"/>
          <w:szCs w:val="32"/>
          <w:lang w:eastAsia="zh-CN"/>
        </w:rPr>
        <w:t>逆周期调节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作用</w:t>
      </w:r>
      <w:r>
        <w:rPr>
          <w:rFonts w:hint="eastAsia" w:hAnsi="仿宋_GB2312" w:eastAsia="仿宋_GB2312" w:cs="仿宋_GB2312"/>
          <w:sz w:val="32"/>
          <w:szCs w:val="32"/>
        </w:rPr>
        <w:t>；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为科技型企业提供融资担保支持</w:t>
      </w:r>
      <w:r>
        <w:rPr>
          <w:rFonts w:hint="eastAsia" w:hAnsi="仿宋_GB2312" w:eastAsia="仿宋_GB2312" w:cs="仿宋_GB2312"/>
          <w:sz w:val="32"/>
          <w:szCs w:val="32"/>
        </w:rPr>
        <w:t>等落实举措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</w:p>
    <w:p w14:paraId="3A9A7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（七）打造科技金融开放创新生态</w:t>
      </w: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（两条举措）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hAnsi="仿宋_GB2312" w:eastAsia="仿宋_GB2312" w:cs="仿宋_GB2312"/>
          <w:kern w:val="0"/>
          <w:sz w:val="32"/>
          <w:szCs w:val="32"/>
          <w:lang w:eastAsia="zh-CN"/>
        </w:rPr>
        <w:t>包括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：提升跨境资金使用便利性、</w:t>
      </w:r>
      <w:r>
        <w:rPr>
          <w:rFonts w:hint="eastAsia" w:hAnsi="仿宋_GB2312" w:eastAsia="仿宋_GB2312" w:cs="仿宋_GB2312"/>
          <w:sz w:val="32"/>
          <w:szCs w:val="32"/>
        </w:rPr>
        <w:t>推动科技金融开放合作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。提出：用好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科汇通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为符合条件的非企业科研机构提供资金入境及使用便捷通道</w:t>
      </w:r>
      <w:r>
        <w:rPr>
          <w:rFonts w:hint="eastAsia" w:hAnsi="仿宋_GB2312" w:eastAsia="仿宋_GB2312" w:cs="仿宋_GB2312"/>
          <w:sz w:val="32"/>
          <w:szCs w:val="32"/>
        </w:rPr>
        <w:t>等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亮点</w:t>
      </w:r>
      <w:r>
        <w:rPr>
          <w:rFonts w:hint="eastAsia" w:hAnsi="仿宋_GB2312" w:eastAsia="仿宋_GB2312" w:cs="仿宋_GB2312"/>
          <w:sz w:val="32"/>
          <w:szCs w:val="32"/>
        </w:rPr>
        <w:t>举措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。</w:t>
      </w:r>
    </w:p>
    <w:p w14:paraId="2AE19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）加强组织实施</w:t>
      </w:r>
      <w:r>
        <w:rPr>
          <w:rStyle w:val="18"/>
          <w:rFonts w:hint="eastAsia" w:ascii="楷体_GB2312" w:hAnsi="楷体_GB2312" w:eastAsia="楷体_GB2312" w:cs="楷体_GB2312"/>
          <w:snapToGrid w:val="0"/>
          <w:kern w:val="0"/>
          <w:sz w:val="32"/>
          <w:szCs w:val="32"/>
        </w:rPr>
        <w:t>（三条举措）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hAnsi="仿宋_GB2312" w:eastAsia="仿宋_GB2312" w:cs="仿宋_GB2312"/>
          <w:kern w:val="0"/>
          <w:sz w:val="32"/>
          <w:szCs w:val="32"/>
          <w:lang w:eastAsia="zh-CN"/>
        </w:rPr>
        <w:t>包括：加强科技金融工作统筹、持续做好企业融资对接、完善科技金融监测统计机制。提出</w:t>
      </w:r>
      <w:r>
        <w:rPr>
          <w:rFonts w:hint="eastAsia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hAnsi="仿宋_GB2312" w:eastAsia="仿宋_GB2312" w:cs="仿宋_GB2312"/>
          <w:sz w:val="32"/>
          <w:szCs w:val="32"/>
        </w:rPr>
        <w:t>建立北京市科技金融综合评估机制；探索编制北京市科技金融发展指数等亮点举措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6"/>
    </w:p>
    <w:p w14:paraId="22A02E1E">
      <w:pPr>
        <w:pStyle w:val="14"/>
        <w:ind w:firstLine="640"/>
        <w:rPr>
          <w:rFonts w:ascii="黑体" w:hAnsi="黑体" w:eastAsia="黑体"/>
        </w:rPr>
      </w:pPr>
    </w:p>
    <w:p w14:paraId="6D713A25">
      <w:pPr>
        <w:pStyle w:val="14"/>
        <w:ind w:firstLine="640"/>
      </w:pPr>
    </w:p>
    <w:p w14:paraId="5D3A5BE3"/>
    <w:p w14:paraId="2ADDDE59"/>
    <w:p w14:paraId="48834C72"/>
    <w:p w14:paraId="767C0B92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47DEB774">
      <w:pPr>
        <w:pStyle w:val="8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Style w:val="13"/>
          <w:rFonts w:hint="eastAsia" w:ascii="仿宋_GB2312" w:hAnsi="仿宋_GB2312" w:eastAsia="仿宋_GB2312" w:cs="仿宋_GB2312"/>
          <w:sz w:val="21"/>
          <w:szCs w:val="21"/>
        </w:rPr>
        <w:footnoteRef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科技贷款包括科技型企业贷款和科技相关产业贷款，汇总后去重。其中，科技相关产业贷款包括高技术制造业贷款、高技术服务业贷款、战略性新兴产业贷款、知识产权（专利）密集型产业贷款。截至2025年1季度北京科技贷款余额为</w:t>
      </w:r>
      <w:r>
        <w:rPr>
          <w:rFonts w:hint="eastAsia" w:ascii="仿宋_GB2312" w:hAnsi="仿宋_GB2312" w:eastAsia="仿宋_GB2312" w:cs="仿宋_GB2312"/>
          <w:sz w:val="21"/>
          <w:szCs w:val="21"/>
          <w:lang w:val="en"/>
        </w:rPr>
        <w:t>4.</w:t>
      </w:r>
      <w:r>
        <w:rPr>
          <w:rFonts w:hint="eastAsia" w:ascii="仿宋_GB2312" w:hAnsi="仿宋_GB2312" w:eastAsia="仿宋_GB2312" w:cs="仿宋_GB2312"/>
          <w:sz w:val="21"/>
          <w:szCs w:val="21"/>
        </w:rPr>
        <w:t>2万亿元。</w:t>
      </w:r>
    </w:p>
  </w:footnote>
  <w:footnote w:id="1">
    <w:p w14:paraId="6623F388">
      <w:pPr>
        <w:pStyle w:val="8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Style w:val="13"/>
          <w:rFonts w:hint="eastAsia" w:ascii="仿宋_GB2312" w:hAnsi="仿宋_GB2312" w:eastAsia="仿宋_GB2312" w:cs="仿宋_GB2312"/>
          <w:sz w:val="21"/>
          <w:szCs w:val="21"/>
        </w:rPr>
        <w:footnoteRef/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科技型企业贷款包括高新技术企业贷款、科技型中小企业贷款、专精特新中小企业贷款、专精特新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</w:rPr>
        <w:t>小巨人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1"/>
          <w:szCs w:val="21"/>
        </w:rPr>
        <w:t>企业贷款、国家技术创新示范企业贷款、制造业单项冠军企业贷款。截至2025年1季度北京科技型企业贷款余额为1.9万亿元。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8"/>
    <w:rsid w:val="00053759"/>
    <w:rsid w:val="000B1A11"/>
    <w:rsid w:val="000C499B"/>
    <w:rsid w:val="000E4FC8"/>
    <w:rsid w:val="00156649"/>
    <w:rsid w:val="001F6279"/>
    <w:rsid w:val="00241C9A"/>
    <w:rsid w:val="00262351"/>
    <w:rsid w:val="0053561A"/>
    <w:rsid w:val="00547A59"/>
    <w:rsid w:val="007142CF"/>
    <w:rsid w:val="007A5437"/>
    <w:rsid w:val="007C2ADA"/>
    <w:rsid w:val="00804365"/>
    <w:rsid w:val="00AF7C4B"/>
    <w:rsid w:val="00BD1BF9"/>
    <w:rsid w:val="00BE5567"/>
    <w:rsid w:val="00C77E78"/>
    <w:rsid w:val="00D948C8"/>
    <w:rsid w:val="00E7168B"/>
    <w:rsid w:val="00EB1F7C"/>
    <w:rsid w:val="00EE4992"/>
    <w:rsid w:val="3E5DC11E"/>
    <w:rsid w:val="3EDE8AD8"/>
    <w:rsid w:val="461B5BB8"/>
    <w:rsid w:val="51B07E2B"/>
    <w:rsid w:val="5B672B67"/>
    <w:rsid w:val="5F38241B"/>
    <w:rsid w:val="5F7E0F68"/>
    <w:rsid w:val="643935AF"/>
    <w:rsid w:val="6EF782ED"/>
    <w:rsid w:val="70CC2A24"/>
    <w:rsid w:val="78FF954F"/>
    <w:rsid w:val="87ECBBDA"/>
    <w:rsid w:val="87FE7A33"/>
    <w:rsid w:val="BCFBFD8D"/>
    <w:rsid w:val="BEFBE829"/>
    <w:rsid w:val="CFEBE5D5"/>
    <w:rsid w:val="FD9F9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heading"/>
    <w:basedOn w:val="1"/>
    <w:next w:val="7"/>
    <w:qFormat/>
    <w:uiPriority w:val="99"/>
    <w:rPr>
      <w:rFonts w:ascii="Arial" w:hAnsi="Arial"/>
      <w:b/>
    </w:rPr>
  </w:style>
  <w:style w:type="paragraph" w:styleId="7">
    <w:name w:val="index 1"/>
    <w:basedOn w:val="1"/>
    <w:next w:val="1"/>
    <w:unhideWhenUsed/>
    <w:qFormat/>
    <w:uiPriority w:val="0"/>
  </w:style>
  <w:style w:type="paragraph" w:styleId="8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9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</w:style>
  <w:style w:type="character" w:styleId="13">
    <w:name w:val="footnote reference"/>
    <w:qFormat/>
    <w:uiPriority w:val="99"/>
    <w:rPr>
      <w:vertAlign w:val="superscript"/>
    </w:rPr>
  </w:style>
  <w:style w:type="paragraph" w:styleId="14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5">
    <w:name w:val="日期 字符"/>
    <w:basedOn w:val="11"/>
    <w:link w:val="4"/>
    <w:semiHidden/>
    <w:qFormat/>
    <w:uiPriority w:val="99"/>
    <w:rPr>
      <w:rFonts w:eastAsia="宋体"/>
      <w:sz w:val="21"/>
    </w:rPr>
  </w:style>
  <w:style w:type="paragraph" w:customStyle="1" w:styleId="16">
    <w:name w:val="列表段落1"/>
    <w:basedOn w:val="1"/>
    <w:qFormat/>
    <w:uiPriority w:val="34"/>
    <w:pPr>
      <w:ind w:firstLine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1481</Characters>
  <Lines>32</Lines>
  <Paragraphs>9</Paragraphs>
  <TotalTime>0</TotalTime>
  <ScaleCrop>false</ScaleCrop>
  <LinksUpToDate>false</LinksUpToDate>
  <CharactersWithSpaces>1484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2022-01-21T14:28:00Z</dcterms:created>
  <dc:creator>- Yvette</dc:creator>
  <cp:lastModifiedBy>无敌</cp:lastModifiedBy>
  <dcterms:modified xsi:type="dcterms:W3CDTF">2025-09-26T07:25:54Z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182A0472E0AE4A449F551D22D23D0511_13</vt:lpwstr>
  </property>
  <property fmtid="{D5CDD505-2E9C-101B-9397-08002B2CF9AE}" pid="4" name="KSOTemplateDocerSaveRecord">
    <vt:lpwstr>eyJoZGlkIjoiYzE4MGFkYTkwNjZjODA3YTU3OGUyNDFjZDZiMjMyMWMiLCJ1c2VySWQiOiIzODg2MzExMjAifQ==</vt:lpwstr>
  </property>
</Properties>
</file>