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B5" w:rsidRPr="00A111B5" w:rsidRDefault="00A111B5" w:rsidP="00A111B5">
      <w:pPr>
        <w:spacing w:line="500" w:lineRule="exact"/>
        <w:jc w:val="left"/>
        <w:rPr>
          <w:rFonts w:ascii="仿宋" w:eastAsia="仿宋" w:hAnsi="仿宋" w:cs="Times New Roman"/>
          <w:sz w:val="32"/>
          <w:szCs w:val="32"/>
        </w:rPr>
      </w:pPr>
      <w:r w:rsidRPr="00A111B5">
        <w:rPr>
          <w:rFonts w:ascii="仿宋" w:eastAsia="仿宋" w:hAnsi="仿宋" w:cs="Times New Roman" w:hint="eastAsia"/>
          <w:sz w:val="32"/>
          <w:szCs w:val="32"/>
        </w:rPr>
        <w:t>附件1</w:t>
      </w:r>
    </w:p>
    <w:p w:rsidR="00A111B5" w:rsidRPr="00A111B5" w:rsidRDefault="00A111B5" w:rsidP="00A111B5">
      <w:pPr>
        <w:spacing w:line="500" w:lineRule="exact"/>
        <w:jc w:val="center"/>
        <w:rPr>
          <w:rFonts w:ascii="方正小标宋_GBK" w:eastAsia="方正小标宋_GBK" w:hAnsi="仿宋" w:cs="Times New Roman"/>
          <w:sz w:val="44"/>
          <w:szCs w:val="44"/>
        </w:rPr>
      </w:pPr>
      <w:r w:rsidRPr="00A111B5">
        <w:rPr>
          <w:rFonts w:ascii="方正小标宋_GBK" w:eastAsia="方正小标宋_GBK" w:hAnsi="仿宋" w:cs="Times New Roman" w:hint="eastAsia"/>
          <w:sz w:val="44"/>
          <w:szCs w:val="44"/>
        </w:rPr>
        <w:t>获批产品信息表</w:t>
      </w:r>
    </w:p>
    <w:p w:rsidR="00A111B5" w:rsidRPr="00A111B5" w:rsidRDefault="00A111B5" w:rsidP="00A111B5">
      <w:pPr>
        <w:spacing w:line="500" w:lineRule="exact"/>
        <w:jc w:val="center"/>
        <w:rPr>
          <w:rFonts w:ascii="方正小标宋_GBK" w:eastAsia="方正小标宋_GBK" w:hAnsi="仿宋" w:cs="Times New Roman"/>
          <w:sz w:val="44"/>
          <w:szCs w:val="4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A111B5" w:rsidRPr="00A111B5" w:rsidTr="00A71954">
        <w:trPr>
          <w:trHeight w:val="285"/>
        </w:trPr>
        <w:tc>
          <w:tcPr>
            <w:tcW w:w="8926" w:type="dxa"/>
            <w:gridSpan w:val="2"/>
            <w:shd w:val="clear" w:color="auto" w:fill="auto"/>
            <w:vAlign w:val="bottom"/>
            <w:hideMark/>
          </w:tcPr>
          <w:p w:rsidR="00A111B5" w:rsidRPr="00A111B5" w:rsidRDefault="00A111B5" w:rsidP="00A111B5">
            <w:pPr>
              <w:widowControl/>
              <w:jc w:val="center"/>
              <w:rPr>
                <w:rFonts w:ascii="黑体" w:eastAsia="黑体" w:hAnsi="黑体" w:cs="宋体"/>
                <w:bCs/>
                <w:color w:val="000000"/>
                <w:kern w:val="0"/>
                <w:sz w:val="32"/>
                <w:szCs w:val="32"/>
              </w:rPr>
            </w:pPr>
            <w:r w:rsidRPr="00A111B5">
              <w:rPr>
                <w:rFonts w:ascii="黑体" w:eastAsia="黑体" w:hAnsi="黑体" w:cs="宋体" w:hint="eastAsia"/>
                <w:bCs/>
                <w:color w:val="000000"/>
                <w:kern w:val="0"/>
                <w:sz w:val="32"/>
                <w:szCs w:val="32"/>
              </w:rPr>
              <w:t>产品信息</w:t>
            </w:r>
          </w:p>
        </w:tc>
      </w:tr>
      <w:tr w:rsidR="00A111B5" w:rsidRPr="00A111B5" w:rsidTr="00A71954">
        <w:trPr>
          <w:trHeight w:val="270"/>
        </w:trPr>
        <w:tc>
          <w:tcPr>
            <w:tcW w:w="2263" w:type="dxa"/>
            <w:shd w:val="clear" w:color="000000" w:fill="D9D9D9"/>
            <w:vAlign w:val="center"/>
            <w:hideMark/>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产品名称</w:t>
            </w:r>
          </w:p>
        </w:tc>
        <w:tc>
          <w:tcPr>
            <w:tcW w:w="6663" w:type="dxa"/>
            <w:shd w:val="clear" w:color="000000" w:fill="D9D9D9"/>
            <w:vAlign w:val="center"/>
            <w:hideMark/>
          </w:tcPr>
          <w:p w:rsidR="00A111B5" w:rsidRPr="00A111B5" w:rsidRDefault="00A111B5" w:rsidP="00A111B5">
            <w:pPr>
              <w:widowControl/>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冠脉血流储备分数计算软件</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注册证编号</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国械注准20203210035</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注册人名称</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北京昆仑医云科技有限公司</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注册人住所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北京市石景山区西井路17号2号楼201房间</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生产地址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北京市东城区崇文门外大街8号院1号楼哈德门广场东塔301</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管理类别</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第三类</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型号规格</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DEEPVESSEL FFR，发布版本1.0</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结构及组成/主要组成成分</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由安装光盘、加密锁组成，功能模块包括：图像基本操作、基于深度学习技术的血管分割与重建、血管中心线提取、基于深度学习技术的血流储备分数计算。</w:t>
            </w:r>
          </w:p>
        </w:tc>
      </w:tr>
      <w:tr w:rsidR="00A111B5" w:rsidRPr="00A111B5" w:rsidTr="00A71954">
        <w:trPr>
          <w:trHeight w:val="135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适用范围/预期用途</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本产品基于冠状动脉CT血管影像（CTA）计算获得深脉血流储备分数（DEEPVESSEL FFR），在进行冠状动脉血管造影检查之前，辅助培训合格的医技人员评估稳定性冠心病（SCAD）患者的功能性心肌缺血症状。临床医生还应结合患者的病史、症状以及相关诊断结果进行综合评判。该产品不适用于急性冠脉综合征（ACS）等急性胸痛患者。</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备注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鉴于该产品远期安全性、有效性尚需进一步追踪，建议申请人在注册后进行以下工作：上市后继续开展计算结果介于0.75至0.85的临床研究以及冠脉弥漫性病变的临床研究。</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审批部门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国家药品监督管理局</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批准日期</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2020-1-14</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有效期至</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2025-1-13</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r>
      <w:tr w:rsidR="00A111B5" w:rsidRPr="00A111B5" w:rsidTr="00A71954">
        <w:trPr>
          <w:trHeight w:val="270"/>
        </w:trPr>
        <w:tc>
          <w:tcPr>
            <w:tcW w:w="2263" w:type="dxa"/>
            <w:shd w:val="clear" w:color="000000" w:fill="D9D9D9"/>
            <w:vAlign w:val="center"/>
            <w:hideMark/>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lastRenderedPageBreak/>
              <w:t>产品名称</w:t>
            </w:r>
          </w:p>
        </w:tc>
        <w:tc>
          <w:tcPr>
            <w:tcW w:w="6663" w:type="dxa"/>
            <w:shd w:val="clear" w:color="000000" w:fill="D9D9D9"/>
            <w:vAlign w:val="center"/>
            <w:hideMark/>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冠脉CT造影图像血管狭窄辅助分诊软件</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注册证编号</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国械注准20203210844</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注册人名称</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语坤（北京）网络科技有限公司</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注册人住所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北京市昌平区科技园区创新路11号3号楼313、315室</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生产地址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北京市昌平区科技园区创新路11号3号楼313、315室</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管理类别</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第三类</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型号规格</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CoronaryDoc，发布版本2.0</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结构及组成/主要组成成分</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由软件安装光盘组成,功能模块包括:影像列表模块、基于深度学习的血管狭窄分诊提示模块、基于深度学习的后处理模块、冠脉血管分割结果修改模块、冠脉血管命名修改模块、管理配置模块。</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适用范围/预期用途</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用于冠脉CT造影图像(CTA) 的后处理,提供冠脉狭窄辅助分诊提示,供经培训合格的医师使用,不能单独用作临床诊疗决策依据。不适用于急性冠脉综合征（ACS)等急性胸痛患者。</w:t>
            </w:r>
          </w:p>
        </w:tc>
      </w:tr>
      <w:tr w:rsidR="00A111B5" w:rsidRPr="00A111B5" w:rsidTr="00A71954">
        <w:trPr>
          <w:trHeight w:val="54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备注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建议注册后开展以下工作: 1、继续研究深度学习算法泛化能力； 2、每年度总结分析产品临床使用情况。</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审批部门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国家药品监督管理局</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批准日期</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2020-11-3</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有效期至</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2025-11-2</w:t>
            </w:r>
          </w:p>
        </w:tc>
      </w:tr>
      <w:tr w:rsidR="00A111B5" w:rsidRPr="00A111B5" w:rsidTr="00A71954">
        <w:trPr>
          <w:trHeight w:val="270"/>
        </w:trPr>
        <w:tc>
          <w:tcPr>
            <w:tcW w:w="8926" w:type="dxa"/>
            <w:gridSpan w:val="2"/>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r>
      <w:tr w:rsidR="00A111B5" w:rsidRPr="00A111B5" w:rsidTr="00A71954">
        <w:trPr>
          <w:trHeight w:val="270"/>
        </w:trPr>
        <w:tc>
          <w:tcPr>
            <w:tcW w:w="2263" w:type="dxa"/>
            <w:shd w:val="clear" w:color="auto" w:fill="D9D9D9"/>
            <w:vAlign w:val="center"/>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产品名称</w:t>
            </w:r>
          </w:p>
        </w:tc>
        <w:tc>
          <w:tcPr>
            <w:tcW w:w="6663" w:type="dxa"/>
            <w:shd w:val="clear" w:color="auto" w:fill="D9D9D9"/>
            <w:vAlign w:val="center"/>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肺结节CT影像辅助检测软件</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注册证编号</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国械注准20203210839</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注册人名称</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北京推想科技有限公司</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注册人住所</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北京市海淀区上地信息路12号1幢4层B401室</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生产地址</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北京市海淀区上地信息路12号1幢4层B401室</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管理类别</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第三类</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型号规格</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InferRead CT Lung，发布版本3</w:t>
            </w:r>
          </w:p>
        </w:tc>
      </w:tr>
      <w:tr w:rsidR="00A111B5" w:rsidRPr="00A111B5" w:rsidTr="00A71954">
        <w:trPr>
          <w:trHeight w:val="81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lastRenderedPageBreak/>
              <w:t>结构及组成/主要组成成分</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由软件安装U盘组成,功能模块包括登录、报告列表、图像工作站(含常用工具、深度学习辅助决策、信息展示)、用户配置。</w:t>
            </w:r>
          </w:p>
        </w:tc>
      </w:tr>
      <w:tr w:rsidR="00A111B5" w:rsidRPr="00A111B5" w:rsidTr="00A71954">
        <w:trPr>
          <w:trHeight w:val="81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适用范围/预期用途</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用于胸部CT影像的显示、处理、测量和分析,可对4mm及以上肺结节进行自动识别并分析结节影像学特征,供经培训合格的医师使用,不能单独用作临床诊疗决策依据。</w:t>
            </w:r>
          </w:p>
        </w:tc>
      </w:tr>
      <w:tr w:rsidR="00A111B5" w:rsidRPr="00A111B5" w:rsidTr="00A71954">
        <w:trPr>
          <w:trHeight w:val="54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备注</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2020年12月11日同意更正产品适用范围，2020年11月09日核发的中华人民共和国医疗器械注册证予以废止。</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审批部门</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国家药品监督管理局</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批准日期</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2020-12-11</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有效期至</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2025-11-8</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r>
      <w:tr w:rsidR="00A111B5" w:rsidRPr="00A111B5" w:rsidTr="00A71954">
        <w:trPr>
          <w:trHeight w:val="270"/>
        </w:trPr>
        <w:tc>
          <w:tcPr>
            <w:tcW w:w="2263" w:type="dxa"/>
            <w:shd w:val="clear" w:color="000000" w:fill="D9D9D9"/>
            <w:vAlign w:val="center"/>
            <w:hideMark/>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产品名称</w:t>
            </w:r>
          </w:p>
        </w:tc>
        <w:tc>
          <w:tcPr>
            <w:tcW w:w="6663" w:type="dxa"/>
            <w:shd w:val="clear" w:color="000000" w:fill="D9D9D9"/>
            <w:vAlign w:val="center"/>
            <w:hideMark/>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肺炎CT影像辅助分诊与评估软件</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注册证编号</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国械注准20213210210</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注册人名称</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北京推想科技有限公司</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注册人住所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北京市海淀区上地信息路12号1幢4层B401室</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生产地址</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北京市海淀区上地信息路12号1幢4层B401室</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管理类别</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第三类</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型号规格</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InferRead CT Pneumonia，发布版本1</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结构及组成/主要组成成分</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由软件安装U盘组成，功能模块包括登录模块、报告列表模块、图像工作站模块（含常用工具、深度学习影像分析、信息展示）、系统管理模块。</w:t>
            </w:r>
          </w:p>
        </w:tc>
      </w:tr>
      <w:tr w:rsidR="00A111B5" w:rsidRPr="00A111B5" w:rsidTr="00A71954">
        <w:trPr>
          <w:trHeight w:val="81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适用范围/预期用途</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用于肺部CT影像的显示、处理、测量和肺炎病灶识别，可辅助用于成年的新型冠状病毒肺炎疑似患者的分诊提示以及确诊患者的病情评估。供经培训合格的医师使用，不能单独用作临床诊疗决策证据。</w:t>
            </w:r>
          </w:p>
        </w:tc>
      </w:tr>
      <w:tr w:rsidR="00A111B5" w:rsidRPr="00A111B5" w:rsidTr="00A71954">
        <w:trPr>
          <w:trHeight w:val="54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lastRenderedPageBreak/>
              <w:t>备注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建议申请人在注册后进行以下工作：1、继续研究深度学习算法泛化能力。2、每年度分析总结产品使用情况。</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审批部门</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国家药品监督管理局</w:t>
            </w:r>
          </w:p>
        </w:tc>
      </w:tr>
      <w:tr w:rsidR="00A111B5" w:rsidRPr="00A111B5" w:rsidTr="00A71954">
        <w:trPr>
          <w:trHeight w:val="270"/>
        </w:trPr>
        <w:tc>
          <w:tcPr>
            <w:tcW w:w="22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批准日期</w:t>
            </w:r>
          </w:p>
        </w:tc>
        <w:tc>
          <w:tcPr>
            <w:tcW w:w="6663" w:type="dxa"/>
            <w:shd w:val="clear" w:color="auto" w:fill="auto"/>
            <w:vAlign w:val="center"/>
            <w:hideMark/>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2021-3-26</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有效期至</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2026-3-25</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产品名称</w:t>
            </w:r>
          </w:p>
        </w:tc>
        <w:tc>
          <w:tcPr>
            <w:tcW w:w="6663" w:type="dxa"/>
            <w:shd w:val="clear" w:color="auto" w:fill="auto"/>
            <w:vAlign w:val="center"/>
          </w:tcPr>
          <w:p w:rsidR="00A111B5" w:rsidRPr="00A111B5" w:rsidRDefault="00A111B5" w:rsidP="00A111B5">
            <w:pPr>
              <w:widowControl/>
              <w:spacing w:line="400" w:lineRule="exact"/>
              <w:jc w:val="left"/>
              <w:rPr>
                <w:rFonts w:ascii="黑体" w:eastAsia="黑体" w:hAnsi="黑体" w:cs="宋体"/>
                <w:color w:val="000000"/>
                <w:kern w:val="0"/>
                <w:sz w:val="32"/>
                <w:szCs w:val="32"/>
              </w:rPr>
            </w:pPr>
            <w:r w:rsidRPr="00A111B5">
              <w:rPr>
                <w:rFonts w:ascii="黑体" w:eastAsia="黑体" w:hAnsi="黑体" w:cs="宋体" w:hint="eastAsia"/>
                <w:color w:val="000000"/>
                <w:kern w:val="0"/>
                <w:sz w:val="32"/>
                <w:szCs w:val="32"/>
              </w:rPr>
              <w:t>骨折</w:t>
            </w:r>
            <w:r w:rsidRPr="00A111B5">
              <w:rPr>
                <w:rFonts w:ascii="黑体" w:eastAsia="黑体" w:hAnsi="黑体" w:cs="宋体"/>
                <w:color w:val="000000"/>
                <w:kern w:val="0"/>
                <w:sz w:val="32"/>
                <w:szCs w:val="32"/>
              </w:rPr>
              <w:t>X</w:t>
            </w:r>
            <w:r w:rsidRPr="00A111B5">
              <w:rPr>
                <w:rFonts w:ascii="黑体" w:eastAsia="黑体" w:hAnsi="黑体" w:cs="宋体" w:hint="eastAsia"/>
                <w:color w:val="000000"/>
                <w:kern w:val="0"/>
                <w:sz w:val="32"/>
                <w:szCs w:val="32"/>
              </w:rPr>
              <w:t xml:space="preserve">射线图像辅助检测软件 </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注册证编号</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国械注准20213210308</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注册人名称</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慧影医疗科技（北京)有限公司</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注册人住所</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北京市海淀区西小口路66号中关村东升科技园</w:t>
            </w:r>
            <w:r w:rsidRPr="00A111B5">
              <w:rPr>
                <w:rFonts w:ascii="微软雅黑" w:eastAsia="微软雅黑" w:hAnsi="微软雅黑" w:cs="微软雅黑" w:hint="eastAsia"/>
                <w:color w:val="000000"/>
                <w:kern w:val="0"/>
                <w:sz w:val="32"/>
                <w:szCs w:val="32"/>
              </w:rPr>
              <w:t>•</w:t>
            </w:r>
            <w:r w:rsidRPr="00A111B5">
              <w:rPr>
                <w:rFonts w:ascii="仿宋_GB2312" w:eastAsia="仿宋_GB2312" w:hAnsi="仿宋_GB2312" w:cs="仿宋_GB2312" w:hint="eastAsia"/>
                <w:color w:val="000000"/>
                <w:kern w:val="0"/>
                <w:sz w:val="32"/>
                <w:szCs w:val="32"/>
              </w:rPr>
              <w:t>北领地</w:t>
            </w:r>
            <w:r w:rsidRPr="00A111B5">
              <w:rPr>
                <w:rFonts w:ascii="仿宋_GB2312" w:eastAsia="仿宋_GB2312" w:hAnsi="宋体" w:cs="宋体" w:hint="eastAsia"/>
                <w:color w:val="000000"/>
                <w:kern w:val="0"/>
                <w:sz w:val="32"/>
                <w:szCs w:val="32"/>
              </w:rPr>
              <w:t>B-2号楼2层A206</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生产地址</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北京市海淀区西小口路66号中关村东升科技园</w:t>
            </w:r>
            <w:r w:rsidRPr="00A111B5">
              <w:rPr>
                <w:rFonts w:ascii="微软雅黑" w:eastAsia="微软雅黑" w:hAnsi="微软雅黑" w:cs="微软雅黑" w:hint="eastAsia"/>
                <w:color w:val="000000"/>
                <w:kern w:val="0"/>
                <w:sz w:val="32"/>
                <w:szCs w:val="32"/>
              </w:rPr>
              <w:t>•</w:t>
            </w:r>
            <w:r w:rsidRPr="00A111B5">
              <w:rPr>
                <w:rFonts w:ascii="仿宋_GB2312" w:eastAsia="仿宋_GB2312" w:hAnsi="仿宋_GB2312" w:cs="仿宋_GB2312" w:hint="eastAsia"/>
                <w:color w:val="000000"/>
                <w:kern w:val="0"/>
                <w:sz w:val="32"/>
                <w:szCs w:val="32"/>
              </w:rPr>
              <w:t>北领地</w:t>
            </w:r>
            <w:r w:rsidRPr="00A111B5">
              <w:rPr>
                <w:rFonts w:ascii="仿宋_GB2312" w:eastAsia="仿宋_GB2312" w:hAnsi="宋体" w:cs="宋体" w:hint="eastAsia"/>
                <w:color w:val="000000"/>
                <w:kern w:val="0"/>
                <w:sz w:val="32"/>
                <w:szCs w:val="32"/>
              </w:rPr>
              <w:t>B-2号楼2层A206</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管理类别</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第三类</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型号规格</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HY-AIMI-FX，发布版本</w:t>
            </w:r>
            <w:r w:rsidRPr="00A111B5">
              <w:rPr>
                <w:rFonts w:ascii="仿宋_GB2312" w:eastAsia="仿宋_GB2312" w:hAnsi="宋体" w:cs="宋体"/>
                <w:color w:val="000000"/>
                <w:kern w:val="0"/>
                <w:sz w:val="32"/>
                <w:szCs w:val="32"/>
              </w:rPr>
              <w:t>1</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结构及组成/主要组成成分</w:t>
            </w:r>
          </w:p>
        </w:tc>
        <w:tc>
          <w:tcPr>
            <w:tcW w:w="6663" w:type="dxa"/>
            <w:shd w:val="clear" w:color="auto" w:fill="auto"/>
            <w:vAlign w:val="center"/>
          </w:tcPr>
          <w:p w:rsidR="00A111B5" w:rsidRPr="00A111B5" w:rsidRDefault="00A111B5" w:rsidP="00A111B5">
            <w:pPr>
              <w:widowControl/>
              <w:spacing w:line="400" w:lineRule="exac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由安装光盘和加密锁组成，功能模块包括浏览器端和服务器端，其中浏览器端包含登录模块、列表模块、阅片模块，服务器端包含应用服务模块、深度学习算法模块。</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适用范围/预期用途</w:t>
            </w:r>
          </w:p>
        </w:tc>
        <w:tc>
          <w:tcPr>
            <w:tcW w:w="6663" w:type="dxa"/>
            <w:shd w:val="clear" w:color="auto" w:fill="auto"/>
            <w:vAlign w:val="center"/>
          </w:tcPr>
          <w:p w:rsidR="00A111B5" w:rsidRPr="00A111B5" w:rsidRDefault="00A111B5" w:rsidP="00A111B5">
            <w:pPr>
              <w:widowControl/>
              <w:spacing w:line="400" w:lineRule="exac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用于骨骼</w:t>
            </w:r>
            <w:r w:rsidRPr="00A111B5">
              <w:rPr>
                <w:rFonts w:ascii="仿宋_GB2312" w:eastAsia="仿宋_GB2312" w:hAnsi="宋体" w:cs="宋体"/>
                <w:color w:val="000000"/>
                <w:kern w:val="0"/>
                <w:sz w:val="32"/>
                <w:szCs w:val="32"/>
              </w:rPr>
              <w:t>X</w:t>
            </w:r>
            <w:r w:rsidRPr="00A111B5">
              <w:rPr>
                <w:rFonts w:ascii="仿宋_GB2312" w:eastAsia="仿宋_GB2312" w:hAnsi="宋体" w:cs="宋体" w:hint="eastAsia"/>
                <w:color w:val="000000"/>
                <w:kern w:val="0"/>
                <w:sz w:val="32"/>
                <w:szCs w:val="32"/>
              </w:rPr>
              <w:t>射线图像的显示、处理和测量,可对成年患者尺桡骨、手部、腕关节、踝关节、胫腓骨、足部的骨折区域进行自动识别，不适用于隐匿性骨折、病理性骨折、骨骼畸形、陈旧性骨折、骨折合并脱位等情况。供经培训合格的医师使用，不能单独用作临床诊疗决策依据。</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备注</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鉴于该产品远期安全性、有效性尚需进一步跟踪，建议申请人在注册后进行以下工作：1、继续研究深度学习算法泛化能力；2、每年度总结分析产品使用情况。</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审批部门</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国家药品监督管理局</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批准日期</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2021-4-28</w:t>
            </w:r>
          </w:p>
        </w:tc>
      </w:tr>
      <w:tr w:rsidR="00A111B5" w:rsidRPr="00A111B5" w:rsidTr="00A71954">
        <w:trPr>
          <w:trHeight w:val="270"/>
        </w:trPr>
        <w:tc>
          <w:tcPr>
            <w:tcW w:w="22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有效期至</w:t>
            </w:r>
          </w:p>
        </w:tc>
        <w:tc>
          <w:tcPr>
            <w:tcW w:w="6663" w:type="dxa"/>
            <w:shd w:val="clear" w:color="auto" w:fill="auto"/>
            <w:vAlign w:val="center"/>
          </w:tcPr>
          <w:p w:rsidR="00A111B5" w:rsidRPr="00A111B5" w:rsidRDefault="00A111B5" w:rsidP="00A111B5">
            <w:pPr>
              <w:widowControl/>
              <w:spacing w:line="400" w:lineRule="exact"/>
              <w:jc w:val="left"/>
              <w:rPr>
                <w:rFonts w:ascii="仿宋_GB2312" w:eastAsia="仿宋_GB2312" w:hAnsi="宋体" w:cs="宋体"/>
                <w:color w:val="000000"/>
                <w:kern w:val="0"/>
                <w:sz w:val="32"/>
                <w:szCs w:val="32"/>
              </w:rPr>
            </w:pPr>
            <w:r w:rsidRPr="00A111B5">
              <w:rPr>
                <w:rFonts w:ascii="仿宋_GB2312" w:eastAsia="仿宋_GB2312" w:hAnsi="宋体" w:cs="宋体" w:hint="eastAsia"/>
                <w:color w:val="000000"/>
                <w:kern w:val="0"/>
                <w:sz w:val="32"/>
                <w:szCs w:val="32"/>
              </w:rPr>
              <w:t>2026-4-28</w:t>
            </w:r>
          </w:p>
        </w:tc>
      </w:tr>
    </w:tbl>
    <w:p w:rsidR="00A111B5" w:rsidRPr="00A111B5" w:rsidRDefault="00A111B5" w:rsidP="00A111B5">
      <w:pPr>
        <w:widowControl/>
        <w:jc w:val="left"/>
        <w:rPr>
          <w:rFonts w:ascii="仿宋" w:eastAsia="仿宋" w:hAnsi="仿宋" w:cs="Times New Roman"/>
          <w:kern w:val="0"/>
          <w:sz w:val="32"/>
          <w:szCs w:val="32"/>
        </w:rPr>
      </w:pPr>
    </w:p>
    <w:p w:rsidR="00F56461" w:rsidRDefault="00F56461">
      <w:bookmarkStart w:id="0" w:name="_GoBack"/>
      <w:bookmarkEnd w:id="0"/>
    </w:p>
    <w:sectPr w:rsidR="00F56461">
      <w:footerReference w:type="default" r:id="rId4"/>
      <w:footerReference w:type="first" r:id="rId5"/>
      <w:pgSz w:w="11906" w:h="16838"/>
      <w:pgMar w:top="1440" w:right="1797" w:bottom="1440" w:left="1797"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60" w:rsidRDefault="00A111B5">
    <w:pPr>
      <w:pStyle w:val="1"/>
      <w:jc w:val="center"/>
      <w:rPr>
        <w:sz w:val="16"/>
        <w:szCs w:val="16"/>
      </w:rPr>
    </w:pPr>
    <w:r>
      <w:rPr>
        <w:sz w:val="16"/>
        <w:szCs w:val="16"/>
      </w:rPr>
      <w:fldChar w:fldCharType="begin"/>
    </w:r>
    <w:r>
      <w:rPr>
        <w:rStyle w:val="a4"/>
        <w:sz w:val="16"/>
        <w:szCs w:val="16"/>
      </w:rPr>
      <w:instrText xml:space="preserve"> PAGE </w:instrText>
    </w:r>
    <w:r>
      <w:rPr>
        <w:sz w:val="16"/>
        <w:szCs w:val="16"/>
      </w:rPr>
      <w:fldChar w:fldCharType="separate"/>
    </w:r>
    <w:r>
      <w:rPr>
        <w:rStyle w:val="a4"/>
        <w:noProof/>
        <w:sz w:val="16"/>
        <w:szCs w:val="16"/>
      </w:rPr>
      <w:t>- 1 -</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60" w:rsidRDefault="00A111B5">
    <w:pPr>
      <w:pStyle w:val="1"/>
      <w:jc w:val="center"/>
      <w:rPr>
        <w:sz w:val="16"/>
        <w:szCs w:val="16"/>
      </w:rPr>
    </w:pPr>
    <w:r>
      <w:rPr>
        <w:sz w:val="16"/>
        <w:szCs w:val="16"/>
      </w:rPr>
      <w:fldChar w:fldCharType="begin"/>
    </w:r>
    <w:r>
      <w:rPr>
        <w:rStyle w:val="a4"/>
        <w:sz w:val="16"/>
        <w:szCs w:val="16"/>
      </w:rPr>
      <w:instrText xml:space="preserve"> PAGE </w:instrText>
    </w:r>
    <w:r>
      <w:rPr>
        <w:sz w:val="16"/>
        <w:szCs w:val="16"/>
      </w:rPr>
      <w:fldChar w:fldCharType="separate"/>
    </w:r>
    <w:r>
      <w:rPr>
        <w:rStyle w:val="a4"/>
        <w:sz w:val="16"/>
        <w:szCs w:val="16"/>
      </w:rPr>
      <w:t>- 60 -</w:t>
    </w:r>
    <w:r>
      <w:rPr>
        <w:sz w:val="16"/>
        <w:szCs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B5"/>
    <w:rsid w:val="00A111B5"/>
    <w:rsid w:val="00F5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BCFC-4E13-49FA-9F0B-2E2FE95A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next w:val="a3"/>
    <w:link w:val="Char"/>
    <w:uiPriority w:val="99"/>
    <w:unhideWhenUsed/>
    <w:qFormat/>
    <w:rsid w:val="00A111B5"/>
    <w:pPr>
      <w:tabs>
        <w:tab w:val="center" w:pos="4153"/>
        <w:tab w:val="right" w:pos="8306"/>
      </w:tabs>
      <w:snapToGrid w:val="0"/>
      <w:jc w:val="left"/>
    </w:pPr>
    <w:rPr>
      <w:sz w:val="18"/>
      <w:szCs w:val="18"/>
    </w:rPr>
  </w:style>
  <w:style w:type="character" w:styleId="a4">
    <w:name w:val="page number"/>
    <w:uiPriority w:val="99"/>
    <w:semiHidden/>
    <w:unhideWhenUsed/>
    <w:qFormat/>
    <w:rsid w:val="00A111B5"/>
  </w:style>
  <w:style w:type="character" w:customStyle="1" w:styleId="Char">
    <w:name w:val="页脚 Char"/>
    <w:basedOn w:val="a0"/>
    <w:link w:val="1"/>
    <w:uiPriority w:val="99"/>
    <w:qFormat/>
    <w:rsid w:val="00A111B5"/>
    <w:rPr>
      <w:sz w:val="18"/>
      <w:szCs w:val="18"/>
    </w:rPr>
  </w:style>
  <w:style w:type="paragraph" w:styleId="a3">
    <w:name w:val="footer"/>
    <w:basedOn w:val="a"/>
    <w:link w:val="Char1"/>
    <w:uiPriority w:val="99"/>
    <w:semiHidden/>
    <w:unhideWhenUsed/>
    <w:rsid w:val="00A111B5"/>
    <w:pPr>
      <w:tabs>
        <w:tab w:val="center" w:pos="4153"/>
        <w:tab w:val="right" w:pos="8306"/>
      </w:tabs>
      <w:snapToGrid w:val="0"/>
      <w:jc w:val="left"/>
    </w:pPr>
    <w:rPr>
      <w:sz w:val="18"/>
      <w:szCs w:val="18"/>
    </w:rPr>
  </w:style>
  <w:style w:type="character" w:customStyle="1" w:styleId="Char1">
    <w:name w:val="页脚 Char1"/>
    <w:basedOn w:val="a0"/>
    <w:link w:val="a3"/>
    <w:uiPriority w:val="99"/>
    <w:semiHidden/>
    <w:rsid w:val="00A111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卢明子</dc:creator>
  <cp:keywords/>
  <dc:description/>
  <cp:lastModifiedBy>卢明子</cp:lastModifiedBy>
  <cp:revision>1</cp:revision>
  <dcterms:created xsi:type="dcterms:W3CDTF">2021-05-13T04:04:00Z</dcterms:created>
  <dcterms:modified xsi:type="dcterms:W3CDTF">2021-05-13T04:05:00Z</dcterms:modified>
</cp:coreProperties>
</file>