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ascii="黑体" w:hAnsi="黑体" w:eastAsia="黑体"/>
          <w:sz w:val="32"/>
          <w:szCs w:val="32"/>
          <w:lang w:val="en"/>
        </w:rPr>
      </w:pPr>
      <w:r>
        <w:rPr>
          <w:rFonts w:hint="eastAsia" w:ascii="黑体" w:hAnsi="黑体" w:eastAsia="黑体"/>
          <w:sz w:val="32"/>
          <w:szCs w:val="32"/>
        </w:rPr>
        <w:t>附件6</w:t>
      </w:r>
    </w:p>
    <w:p>
      <w:pPr>
        <w:autoSpaceDN w:val="0"/>
        <w:spacing w:before="240" w:beforeLines="100" w:after="240" w:afterLines="100" w:line="560" w:lineRule="exact"/>
        <w:jc w:val="center"/>
        <w:rPr>
          <w:rFonts w:ascii="方正小标宋_GBK" w:hAnsi="宋体" w:eastAsia="方正小标宋_GBK" w:cs="宋体"/>
          <w:color w:val="000000"/>
          <w:kern w:val="0"/>
          <w:sz w:val="44"/>
          <w:szCs w:val="44"/>
        </w:rPr>
      </w:pPr>
      <w:bookmarkStart w:id="0" w:name="_Hlk71286955"/>
      <w:r>
        <w:rPr>
          <w:rFonts w:hint="eastAsia" w:ascii="方正小标宋_GBK" w:hAnsi="宋体" w:eastAsia="方正小标宋_GBK" w:cs="宋体"/>
          <w:color w:val="000000"/>
          <w:kern w:val="0"/>
          <w:sz w:val="44"/>
          <w:szCs w:val="44"/>
        </w:rPr>
        <w:t xml:space="preserve">《中关村国家自主创新示范区提升创新能力 </w:t>
      </w:r>
      <w:r>
        <w:rPr>
          <w:rFonts w:ascii="方正小标宋_GBK" w:hAnsi="宋体" w:eastAsia="方正小标宋_GBK" w:cs="宋体"/>
          <w:color w:val="000000"/>
          <w:kern w:val="0"/>
          <w:sz w:val="44"/>
          <w:szCs w:val="44"/>
        </w:rPr>
        <w:t xml:space="preserve"> </w:t>
      </w:r>
      <w:r>
        <w:rPr>
          <w:rFonts w:hint="eastAsia" w:ascii="方正小标宋_GBK" w:hAnsi="宋体" w:eastAsia="方正小标宋_GBK" w:cs="宋体"/>
          <w:color w:val="000000"/>
          <w:kern w:val="0"/>
          <w:sz w:val="44"/>
          <w:szCs w:val="44"/>
        </w:rPr>
        <w:t xml:space="preserve">优化创新环境支持资金管理办法》实施细则 </w:t>
      </w:r>
      <w:r>
        <w:rPr>
          <w:rFonts w:ascii="方正小标宋_GBK" w:hAnsi="宋体" w:eastAsia="方正小标宋_GBK" w:cs="宋体"/>
          <w:color w:val="000000"/>
          <w:kern w:val="0"/>
          <w:sz w:val="44"/>
          <w:szCs w:val="44"/>
        </w:rPr>
        <w:t xml:space="preserve"> </w:t>
      </w:r>
      <w:r>
        <w:rPr>
          <w:rFonts w:hint="eastAsia" w:ascii="方正小标宋_GBK" w:hAnsi="宋体" w:eastAsia="方正小标宋_GBK" w:cs="宋体"/>
          <w:color w:val="000000"/>
          <w:kern w:val="0"/>
          <w:sz w:val="44"/>
          <w:szCs w:val="44"/>
        </w:rPr>
        <w:t>（试行）（</w:t>
      </w:r>
      <w:r>
        <w:rPr>
          <w:rFonts w:hint="eastAsia" w:ascii="方正小标宋_GBK" w:hAnsi="宋体" w:eastAsia="方正小标宋_GBK" w:cs="宋体"/>
          <w:color w:val="000000"/>
          <w:kern w:val="0"/>
          <w:sz w:val="44"/>
          <w:szCs w:val="44"/>
          <w:lang w:eastAsia="zh-CN"/>
        </w:rPr>
        <w:t>知识产权部分节选</w:t>
      </w:r>
      <w:r>
        <w:rPr>
          <w:rFonts w:hint="eastAsia" w:ascii="方正小标宋_GBK" w:hAnsi="宋体" w:eastAsia="方正小标宋_GBK" w:cs="宋体"/>
          <w:color w:val="000000"/>
          <w:kern w:val="0"/>
          <w:sz w:val="44"/>
          <w:szCs w:val="44"/>
        </w:rPr>
        <w:t>）</w:t>
      </w:r>
    </w:p>
    <w:bookmarkEnd w:id="0"/>
    <w:p>
      <w:pPr>
        <w:autoSpaceDN w:val="0"/>
        <w:adjustRightInd w:val="0"/>
        <w:snapToGrid w:val="0"/>
        <w:spacing w:line="560" w:lineRule="exact"/>
        <w:jc w:val="center"/>
        <w:outlineLvl w:val="0"/>
        <w:rPr>
          <w:rFonts w:ascii="黑体" w:hAnsi="宋体" w:eastAsia="黑体" w:cs="宋体"/>
          <w:color w:val="000000"/>
          <w:sz w:val="32"/>
          <w:szCs w:val="32"/>
        </w:rPr>
      </w:pPr>
      <w:r>
        <w:rPr>
          <w:rFonts w:hint="eastAsia" w:ascii="黑体" w:hAnsi="宋体" w:eastAsia="黑体" w:cs="宋体"/>
          <w:color w:val="000000"/>
          <w:sz w:val="32"/>
          <w:szCs w:val="32"/>
        </w:rPr>
        <w:t>第一章  总则</w:t>
      </w:r>
    </w:p>
    <w:p>
      <w:pPr>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第一条  为做好北京加强全国科技创新中心建设的主要载体，加快建设中关村国家自主创新示范区（以下简称“中关村示范区”），提升中关村示范区企业、高等学校、科研机构、社会组织等各类创新主体创新能力，促进新技术、新产业、新业态发展，根据《中关村国家自主创新示范区提升创新能力优化创新环境支持资金管理办法》（</w:t>
      </w:r>
      <w:r>
        <w:rPr>
          <w:rFonts w:hint="eastAsia" w:ascii="仿宋_GB2312" w:hAnsi="宋体" w:eastAsia="仿宋_GB2312" w:cs="宋体"/>
          <w:sz w:val="32"/>
          <w:szCs w:val="32"/>
        </w:rPr>
        <w:t>中科园发〔2019〕21号，</w:t>
      </w:r>
      <w:r>
        <w:rPr>
          <w:rFonts w:hint="eastAsia" w:ascii="仿宋_GB2312" w:hAnsi="宋体" w:eastAsia="仿宋_GB2312" w:cs="宋体"/>
          <w:color w:val="000000"/>
          <w:sz w:val="32"/>
          <w:szCs w:val="32"/>
        </w:rPr>
        <w:t>以下简称《办法》），制定本实施细则。</w:t>
      </w:r>
    </w:p>
    <w:p>
      <w:pPr>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第二条  本细则所指企业是指在申报创新支持资金时注册在中关村示范区内的企业（含国家高新技术企业和中关村高新技术企业）</w:t>
      </w:r>
      <w:r>
        <w:rPr>
          <w:rFonts w:hint="eastAsia" w:ascii="仿宋_GB2312" w:hAnsi="宋体" w:eastAsia="仿宋_GB2312" w:cs="宋体"/>
          <w:sz w:val="32"/>
          <w:szCs w:val="32"/>
        </w:rPr>
        <w:t>。</w:t>
      </w:r>
    </w:p>
    <w:p>
      <w:pPr>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所指社会组织，是指主要在中关村示范区内开展工作或会员大部分在中关村示范区，有利于自主创新和示范区建设发展的，并已在民政部门登记的非营利性组织，包括社会团体（含产业技术联盟）、民办非企业单位。</w:t>
      </w:r>
    </w:p>
    <w:p>
      <w:pPr>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本细则对于企业的支持内容，符合条件的社会组织参照执行。</w:t>
      </w:r>
    </w:p>
    <w:p>
      <w:pPr>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第三条  本细则支持的重点产业为北京市加快科技创新发展新一代信息技术等十个高精尖产业指导意见确定的产业领域和《中关村国家自主创新示范区发展建设规划（</w:t>
      </w:r>
      <w:r>
        <w:rPr>
          <w:rFonts w:ascii="仿宋_GB2312" w:hAnsi="宋体" w:eastAsia="仿宋_GB2312" w:cs="宋体"/>
          <w:color w:val="000000"/>
          <w:sz w:val="32"/>
          <w:szCs w:val="32"/>
        </w:rPr>
        <w:t>2016-2020</w:t>
      </w:r>
      <w:r>
        <w:rPr>
          <w:rFonts w:hint="eastAsia" w:ascii="仿宋_GB2312" w:hAnsi="宋体" w:eastAsia="仿宋_GB2312" w:cs="宋体"/>
          <w:color w:val="000000"/>
          <w:sz w:val="32"/>
          <w:szCs w:val="32"/>
        </w:rPr>
        <w:t>年）》（中示区组发〔</w:t>
      </w:r>
      <w:r>
        <w:rPr>
          <w:rFonts w:ascii="仿宋_GB2312" w:hAnsi="宋体" w:eastAsia="仿宋_GB2312" w:cs="宋体"/>
          <w:color w:val="000000"/>
          <w:sz w:val="32"/>
          <w:szCs w:val="32"/>
        </w:rPr>
        <w:t>2016</w:t>
      </w:r>
      <w:r>
        <w:rPr>
          <w:rFonts w:hint="eastAsia" w:ascii="仿宋_GB2312" w:hAnsi="宋体" w:eastAsia="仿宋_GB2312" w:cs="宋体"/>
          <w:color w:val="000000"/>
          <w:sz w:val="32"/>
          <w:szCs w:val="32"/>
        </w:rPr>
        <w:t>〕</w:t>
      </w:r>
      <w:r>
        <w:rPr>
          <w:rFonts w:ascii="仿宋_GB2312" w:hAnsi="宋体" w:eastAsia="仿宋_GB2312" w:cs="宋体"/>
          <w:color w:val="000000"/>
          <w:sz w:val="32"/>
          <w:szCs w:val="32"/>
        </w:rPr>
        <w:t>1</w:t>
      </w:r>
      <w:r>
        <w:rPr>
          <w:rFonts w:hint="eastAsia" w:ascii="仿宋_GB2312" w:hAnsi="宋体" w:eastAsia="仿宋_GB2312" w:cs="宋体"/>
          <w:color w:val="000000"/>
          <w:sz w:val="32"/>
          <w:szCs w:val="32"/>
        </w:rPr>
        <w:t>号）及《中关村国家自主创新示范区创新引领高质量发展行动计划（</w:t>
      </w:r>
      <w:r>
        <w:rPr>
          <w:rFonts w:ascii="仿宋_GB2312" w:hAnsi="宋体" w:eastAsia="仿宋_GB2312" w:cs="宋体"/>
          <w:color w:val="000000"/>
          <w:sz w:val="32"/>
          <w:szCs w:val="32"/>
        </w:rPr>
        <w:t>2018-2022</w:t>
      </w:r>
      <w:r>
        <w:rPr>
          <w:rFonts w:hint="eastAsia" w:ascii="仿宋_GB2312" w:hAnsi="宋体" w:eastAsia="仿宋_GB2312" w:cs="宋体"/>
          <w:color w:val="000000"/>
          <w:sz w:val="32"/>
          <w:szCs w:val="32"/>
        </w:rPr>
        <w:t>年）》（中示区组发〔</w:t>
      </w:r>
      <w:r>
        <w:rPr>
          <w:rFonts w:ascii="仿宋_GB2312" w:hAnsi="宋体" w:eastAsia="仿宋_GB2312" w:cs="宋体"/>
          <w:color w:val="000000"/>
          <w:sz w:val="32"/>
          <w:szCs w:val="32"/>
        </w:rPr>
        <w:t>201</w:t>
      </w:r>
      <w:r>
        <w:rPr>
          <w:rFonts w:hint="eastAsia" w:ascii="仿宋_GB2312" w:hAnsi="宋体" w:eastAsia="仿宋_GB2312" w:cs="宋体"/>
          <w:color w:val="000000"/>
          <w:sz w:val="32"/>
          <w:szCs w:val="32"/>
        </w:rPr>
        <w:t>8〕4号）确定的重点发展产业，主要包括新一代信息技术、医药健康、智能制造、新材料、新能源与节能环保、智能交通和现代服务业等。</w:t>
      </w:r>
    </w:p>
    <w:p>
      <w:pPr>
        <w:autoSpaceDN w:val="0"/>
        <w:adjustRightInd w:val="0"/>
        <w:snapToGrid w:val="0"/>
        <w:spacing w:line="560" w:lineRule="exact"/>
        <w:ind w:firstLine="640" w:firstLineChars="200"/>
        <w:rPr>
          <w:rFonts w:ascii="仿宋_GB2312" w:hAnsi="宋体" w:eastAsia="仿宋_GB2312" w:cs="宋体"/>
          <w:sz w:val="32"/>
          <w:szCs w:val="32"/>
        </w:rPr>
      </w:pPr>
      <w:r>
        <w:rPr>
          <w:rFonts w:hint="eastAsia" w:ascii="仿宋_GB2312" w:hAnsi="宋体" w:eastAsia="仿宋_GB2312" w:cs="宋体"/>
          <w:color w:val="000000"/>
          <w:sz w:val="32"/>
          <w:szCs w:val="32"/>
        </w:rPr>
        <w:t xml:space="preserve">第四条  </w:t>
      </w:r>
      <w:r>
        <w:rPr>
          <w:rFonts w:hint="eastAsia" w:ascii="仿宋_GB2312" w:hAnsi="宋体" w:eastAsia="仿宋_GB2312" w:cs="宋体"/>
          <w:sz w:val="32"/>
          <w:szCs w:val="32"/>
        </w:rPr>
        <w:t>本细则支持项目金额，根据中关村科技园区管理委员会（以下简称“中关村管委会”）年度财政资金预算情况，在最高限额内进行适当调整。</w:t>
      </w:r>
    </w:p>
    <w:p>
      <w:pPr>
        <w:autoSpaceDN w:val="0"/>
        <w:adjustRightInd w:val="0"/>
        <w:snapToGrid w:val="0"/>
        <w:spacing w:line="560" w:lineRule="exact"/>
        <w:jc w:val="center"/>
        <w:outlineLvl w:val="0"/>
        <w:rPr>
          <w:rFonts w:ascii="黑体" w:hAnsi="宋体" w:eastAsia="黑体" w:cs="宋体"/>
          <w:color w:val="000000"/>
          <w:sz w:val="32"/>
          <w:szCs w:val="32"/>
        </w:rPr>
      </w:pPr>
      <w:r>
        <w:rPr>
          <w:rFonts w:hint="eastAsia" w:ascii="黑体" w:hAnsi="宋体" w:eastAsia="黑体" w:cs="宋体"/>
          <w:color w:val="000000"/>
          <w:sz w:val="32"/>
          <w:szCs w:val="32"/>
        </w:rPr>
        <w:t>第二章  知识产权</w:t>
      </w:r>
    </w:p>
    <w:p>
      <w:pPr>
        <w:widowControl/>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第五条  支持对象及条件。</w:t>
      </w:r>
    </w:p>
    <w:p>
      <w:pPr>
        <w:autoSpaceDN w:val="0"/>
        <w:spacing w:line="56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三）中关村知识产权领军企业，应属于本实施细则第三条规定的重点产业领域，近3年无不良信用记录，企业内部知识产权管理制度健全，设有专门的知识产权管理部门且配备了专职管理人员，经济效益良好，具有较强的核心竞争力，处于国内同行业综合排名前列，在制定知识产权战略、开展海外知识产权布局、提升知识产权质量等方面能够发挥示范带动作用，并满足以下条件之一：</w:t>
      </w:r>
    </w:p>
    <w:p>
      <w:pPr>
        <w:autoSpaceDN w:val="0"/>
        <w:spacing w:line="56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1.上年度国内专利申请量达到1000件以上且国内发明专利授权量达到100件以上。</w:t>
      </w:r>
    </w:p>
    <w:p>
      <w:pPr>
        <w:autoSpaceDN w:val="0"/>
        <w:spacing w:line="56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2.上年度国内专利申请量达到500件以上，发明专利授权量达到50件以上且上年度国内商标申请量达到500件以上，注册量达到200件以上。</w:t>
      </w:r>
    </w:p>
    <w:p>
      <w:pPr>
        <w:autoSpaceDN w:val="0"/>
        <w:spacing w:line="56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3.上年度PCT专利申请量达到100件以上，或上年度通过马德里途径申请的国际商标达到50件以上。</w:t>
      </w:r>
    </w:p>
    <w:p>
      <w:pPr>
        <w:autoSpaceDN w:val="0"/>
        <w:spacing w:line="56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四）中关村知识产权重点示范企业，应属于本实施细则第三条规定的重点产业领域，近3年无不良信用记录，企业内部知识产权管理制度健全，设有专门的知识产权管理部门且配备了专职管理人员，企业具有较强的核心竞争力，并满足以下条件之一：</w:t>
      </w:r>
    </w:p>
    <w:p>
      <w:pPr>
        <w:autoSpaceDN w:val="0"/>
        <w:spacing w:line="56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1.上年度国内专利申请量达到100件以上且国内发明专利授权量达到10件以上。</w:t>
      </w:r>
    </w:p>
    <w:p>
      <w:pPr>
        <w:autoSpaceDN w:val="0"/>
        <w:spacing w:line="56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2.上年度国内专利申请量达到50件以上，发明专利授权量达到5件以上且上年度国内商标申请量达到50件以上，注册量达到20件以上。</w:t>
      </w:r>
    </w:p>
    <w:p>
      <w:pPr>
        <w:autoSpaceDN w:val="0"/>
        <w:spacing w:line="56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3.上年度PCT专利申请量达到10件以上，或上年度通过马德里途径申请的国际商标达到5件以上。</w:t>
      </w:r>
    </w:p>
    <w:p>
      <w:pPr>
        <w:autoSpaceDN w:val="0"/>
        <w:adjustRightInd w:val="0"/>
        <w:snapToGrid w:val="0"/>
        <w:spacing w:line="560" w:lineRule="exact"/>
        <w:ind w:firstLine="640" w:firstLineChars="200"/>
        <w:rPr>
          <w:rFonts w:ascii="仿宋_GB2312" w:hAnsi="宋体" w:eastAsia="仿宋_GB2312" w:cs="宋体"/>
          <w:color w:val="000000"/>
          <w:sz w:val="32"/>
          <w:szCs w:val="32"/>
        </w:rPr>
      </w:pPr>
      <w:r>
        <w:rPr>
          <w:rFonts w:hint="eastAsia" w:ascii="仿宋_GB2312" w:hAnsi="宋体" w:eastAsia="仿宋_GB2312" w:cs="宋体"/>
          <w:color w:val="000000"/>
          <w:sz w:val="32"/>
          <w:szCs w:val="32"/>
        </w:rPr>
        <w:t>第六条  支持内容及额度。</w:t>
      </w:r>
    </w:p>
    <w:p>
      <w:pPr>
        <w:autoSpaceDN w:val="0"/>
        <w:spacing w:line="56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（三）支持企业开展知识产权高端推进工作</w:t>
      </w:r>
    </w:p>
    <w:p>
      <w:pPr>
        <w:autoSpaceDN w:val="0"/>
        <w:spacing w:line="560" w:lineRule="exact"/>
        <w:ind w:firstLine="640" w:firstLineChars="20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对中关村知识产权领军企业和重点示范企业上年度开展的知识产权战略制定、数据挖掘、信息检索分析、法律服务、布局、预警、运营、专利导航以及高价值专利转化等知识产权高端推进工作，每家领军企业支持金额不超过200万元，重点示范企业支持金额不超过100万元，支持比例均不超过实际发生费用的50%。支持经费认定范围包括：企业开展高端推进工作的数据采集和加工费、高价值专利受让费、资料费、会议费、印刷费、知识产权服务费、法律服务费、劳务费、专家咨询费、国际合作交流费等。专利及商标申请官费和代理费用不属于认定范围。企业开展知识产权高端推进工作,经审计认定年度经费支出少于20万元（含）的不予支持。</w:t>
      </w:r>
    </w:p>
    <w:p>
      <w:pPr>
        <w:widowControl/>
        <w:spacing w:line="560" w:lineRule="exact"/>
        <w:jc w:val="left"/>
        <w:rPr>
          <w:rFonts w:ascii="仿宋_GB2312" w:hAnsi="宋体" w:eastAsia="仿宋_GB2312" w:cs="宋体"/>
          <w:sz w:val="32"/>
          <w:szCs w:val="32"/>
        </w:rPr>
      </w:pPr>
      <w:bookmarkStart w:id="1" w:name="_GoBack"/>
      <w:bookmarkEnd w:id="1"/>
    </w:p>
    <w:sectPr>
      <w:headerReference r:id="rId3" w:type="default"/>
      <w:footerReference r:id="rId4" w:type="default"/>
      <w:pgSz w:w="11906" w:h="16838"/>
      <w:pgMar w:top="1440" w:right="1440" w:bottom="1440" w:left="144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B5776F5-7074-4246-812E-2F1B7EADD553}"/>
  </w:font>
  <w:font w:name="Arial">
    <w:panose1 w:val="020B0604020202020204"/>
    <w:charset w:val="01"/>
    <w:family w:val="swiss"/>
    <w:pitch w:val="default"/>
    <w:sig w:usb0="E0002AFF" w:usb1="C0007843" w:usb2="00000009" w:usb3="00000000" w:csb0="400001FF" w:csb1="FFFF0000"/>
    <w:embedRegular r:id="rId2" w:fontKey="{8F68D960-4E13-47FE-8589-35DF8A3A649A}"/>
  </w:font>
  <w:font w:name="黑体">
    <w:panose1 w:val="02010609060101010101"/>
    <w:charset w:val="86"/>
    <w:family w:val="auto"/>
    <w:pitch w:val="default"/>
    <w:sig w:usb0="800002BF" w:usb1="38CF7CFA" w:usb2="00000016" w:usb3="00000000" w:csb0="00040001" w:csb1="00000000"/>
    <w:embedRegular r:id="rId3" w:fontKey="{4BA3B63A-C7F4-40AE-96A0-DD6A2AD61C0C}"/>
  </w:font>
  <w:font w:name="Courier New">
    <w:panose1 w:val="02070309020205020404"/>
    <w:charset w:val="01"/>
    <w:family w:val="modern"/>
    <w:pitch w:val="default"/>
    <w:sig w:usb0="E0002AFF" w:usb1="C0007843" w:usb2="00000009" w:usb3="00000000" w:csb0="400001FF" w:csb1="FFFF0000"/>
    <w:embedRegular r:id="rId4" w:fontKey="{24141E80-A29D-4A8C-8288-07C8D4E4108A}"/>
  </w:font>
  <w:font w:name="Symbol">
    <w:panose1 w:val="05050102010706020507"/>
    <w:charset w:val="02"/>
    <w:family w:val="roman"/>
    <w:pitch w:val="default"/>
    <w:sig w:usb0="00000000" w:usb1="00000000" w:usb2="00000000" w:usb3="00000000" w:csb0="80000000" w:csb1="00000000"/>
    <w:embedRegular r:id="rId5" w:fontKey="{B5FF6012-FE97-4134-8FDB-1BF68A799581}"/>
  </w:font>
  <w:font w:name="Calibri">
    <w:panose1 w:val="020F0502020204030204"/>
    <w:charset w:val="00"/>
    <w:family w:val="swiss"/>
    <w:pitch w:val="default"/>
    <w:sig w:usb0="E00002FF" w:usb1="4000ACFF" w:usb2="00000001" w:usb3="00000000" w:csb0="2000019F" w:csb1="00000000"/>
    <w:embedRegular r:id="rId6" w:fontKey="{58F10B87-B7B5-4233-A246-A3A68827D05F}"/>
  </w:font>
  <w:font w:name="方正小标宋_GBK">
    <w:panose1 w:val="03000509000000000000"/>
    <w:charset w:val="86"/>
    <w:family w:val="script"/>
    <w:pitch w:val="default"/>
    <w:sig w:usb0="00000001" w:usb1="080E0000" w:usb2="00000000" w:usb3="00000000" w:csb0="00040000" w:csb1="00000000"/>
    <w:embedRegular r:id="rId7" w:fontKey="{344D4C92-6A2F-44B8-8957-825C56002D1E}"/>
  </w:font>
  <w:font w:name="仿宋_GB2312">
    <w:panose1 w:val="02010609030101010101"/>
    <w:charset w:val="86"/>
    <w:family w:val="modern"/>
    <w:pitch w:val="default"/>
    <w:sig w:usb0="00000001" w:usb1="080E0000" w:usb2="00000000" w:usb3="00000000" w:csb0="00040000" w:csb1="00000000"/>
    <w:embedRegular r:id="rId8" w:fontKey="{88EE35E6-B791-482A-AE65-D649637A0EAA}"/>
  </w:font>
  <w:font w:name="楷体_GB2312">
    <w:panose1 w:val="02010609030101010101"/>
    <w:charset w:val="86"/>
    <w:family w:val="modern"/>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汉仪书宋二S">
    <w:altName w:val="宋体"/>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embedRegular r:id="rId9" w:fontKey="{755F94AF-53B8-4767-A6B3-AAD095821598}"/>
  </w:font>
  <w:font w:name="方正小标宋简体">
    <w:altName w:val="Arial Unicode MS"/>
    <w:panose1 w:val="02000000000000000000"/>
    <w:charset w:val="86"/>
    <w:family w:val="script"/>
    <w:pitch w:val="default"/>
    <w:sig w:usb0="00000000" w:usb1="00000000" w:usb2="00000012" w:usb3="00000000" w:csb0="00040001" w:csb1="00000000"/>
  </w:font>
  <w:font w:name="Arial Unicode MS">
    <w:panose1 w:val="020B0604020202020204"/>
    <w:charset w:val="86"/>
    <w:family w:val="auto"/>
    <w:pitch w:val="default"/>
    <w:sig w:usb0="FFFFFFFF" w:usb1="E9FFFFFF" w:usb2="0000003F" w:usb3="00000000" w:csb0="603F01FF" w:csb1="FFFF0000"/>
  </w:font>
  <w:font w:name="Wingdings 2">
    <w:panose1 w:val="05020102010507070707"/>
    <w:charset w:val="02"/>
    <w:family w:val="roman"/>
    <w:pitch w:val="default"/>
    <w:sig w:usb0="00000000" w:usb1="00000000" w:usb2="00000000" w:usb3="00000000" w:csb0="80000000" w:csb1="00000000"/>
    <w:embedRegular r:id="rId10" w:fontKey="{0B478467-8308-44A8-AF7A-518F466686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 PAGE   \* MERGEFORMAT </w:instrText>
    </w:r>
    <w:r>
      <w:fldChar w:fldCharType="separate"/>
    </w:r>
    <w:r>
      <w:rPr>
        <w:lang w:val="zh-CN"/>
      </w:rPr>
      <w:t>4</w:t>
    </w:r>
    <w:r>
      <w:rPr>
        <w:lang w:val="zh-CN"/>
      </w:rPr>
      <w:fldChar w:fldCharType="end"/>
    </w:r>
  </w:p>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E14629"/>
    <w:rsid w:val="00002655"/>
    <w:rsid w:val="00007F3D"/>
    <w:rsid w:val="0001358A"/>
    <w:rsid w:val="000174DB"/>
    <w:rsid w:val="00027B2E"/>
    <w:rsid w:val="00027E0E"/>
    <w:rsid w:val="0003134B"/>
    <w:rsid w:val="00031C8B"/>
    <w:rsid w:val="00032E16"/>
    <w:rsid w:val="0003318B"/>
    <w:rsid w:val="00033542"/>
    <w:rsid w:val="000355F0"/>
    <w:rsid w:val="000374B0"/>
    <w:rsid w:val="00043F82"/>
    <w:rsid w:val="0004407A"/>
    <w:rsid w:val="000476FD"/>
    <w:rsid w:val="000502BB"/>
    <w:rsid w:val="000509BC"/>
    <w:rsid w:val="00051561"/>
    <w:rsid w:val="00051AD7"/>
    <w:rsid w:val="0005335F"/>
    <w:rsid w:val="00053E87"/>
    <w:rsid w:val="000563E5"/>
    <w:rsid w:val="0006237D"/>
    <w:rsid w:val="00062C62"/>
    <w:rsid w:val="00063944"/>
    <w:rsid w:val="0006723E"/>
    <w:rsid w:val="00070CDF"/>
    <w:rsid w:val="000769F8"/>
    <w:rsid w:val="00076BC9"/>
    <w:rsid w:val="00076F49"/>
    <w:rsid w:val="00082065"/>
    <w:rsid w:val="000841A3"/>
    <w:rsid w:val="000841BE"/>
    <w:rsid w:val="000861C5"/>
    <w:rsid w:val="0008725F"/>
    <w:rsid w:val="0009564B"/>
    <w:rsid w:val="00095892"/>
    <w:rsid w:val="000A37AE"/>
    <w:rsid w:val="000A4C1B"/>
    <w:rsid w:val="000A61A3"/>
    <w:rsid w:val="000A6810"/>
    <w:rsid w:val="000A6F9E"/>
    <w:rsid w:val="000B22F4"/>
    <w:rsid w:val="000B4DF1"/>
    <w:rsid w:val="000B4EED"/>
    <w:rsid w:val="000C14CC"/>
    <w:rsid w:val="000C4C5C"/>
    <w:rsid w:val="000C5A88"/>
    <w:rsid w:val="000D0419"/>
    <w:rsid w:val="000D1A73"/>
    <w:rsid w:val="000D33C0"/>
    <w:rsid w:val="000D6861"/>
    <w:rsid w:val="000D6AC9"/>
    <w:rsid w:val="000E0226"/>
    <w:rsid w:val="000E0FD7"/>
    <w:rsid w:val="000E322C"/>
    <w:rsid w:val="000E643D"/>
    <w:rsid w:val="000F3E4C"/>
    <w:rsid w:val="000F75EE"/>
    <w:rsid w:val="00101219"/>
    <w:rsid w:val="00101A07"/>
    <w:rsid w:val="00106E5A"/>
    <w:rsid w:val="00114154"/>
    <w:rsid w:val="00116584"/>
    <w:rsid w:val="001167CC"/>
    <w:rsid w:val="00116A26"/>
    <w:rsid w:val="00117804"/>
    <w:rsid w:val="001213CD"/>
    <w:rsid w:val="00122139"/>
    <w:rsid w:val="001274D6"/>
    <w:rsid w:val="0013299C"/>
    <w:rsid w:val="00137679"/>
    <w:rsid w:val="00137B33"/>
    <w:rsid w:val="0015291D"/>
    <w:rsid w:val="00157908"/>
    <w:rsid w:val="00164FD8"/>
    <w:rsid w:val="0016690A"/>
    <w:rsid w:val="001672C4"/>
    <w:rsid w:val="00172648"/>
    <w:rsid w:val="00181471"/>
    <w:rsid w:val="00183007"/>
    <w:rsid w:val="00183CA3"/>
    <w:rsid w:val="0018706C"/>
    <w:rsid w:val="0019080F"/>
    <w:rsid w:val="0019349F"/>
    <w:rsid w:val="00193CAE"/>
    <w:rsid w:val="00194F4D"/>
    <w:rsid w:val="001954CB"/>
    <w:rsid w:val="00195C69"/>
    <w:rsid w:val="00195F86"/>
    <w:rsid w:val="00197BDF"/>
    <w:rsid w:val="00197F34"/>
    <w:rsid w:val="001A0A39"/>
    <w:rsid w:val="001B2B1A"/>
    <w:rsid w:val="001B7E49"/>
    <w:rsid w:val="001C23C7"/>
    <w:rsid w:val="001C2EAE"/>
    <w:rsid w:val="001C3385"/>
    <w:rsid w:val="001C3B6C"/>
    <w:rsid w:val="001C7D75"/>
    <w:rsid w:val="001D2765"/>
    <w:rsid w:val="001D413D"/>
    <w:rsid w:val="001D5234"/>
    <w:rsid w:val="001D76D0"/>
    <w:rsid w:val="001E5446"/>
    <w:rsid w:val="001E6CFB"/>
    <w:rsid w:val="001F5988"/>
    <w:rsid w:val="001F64F9"/>
    <w:rsid w:val="001F7F0E"/>
    <w:rsid w:val="00200864"/>
    <w:rsid w:val="00203E89"/>
    <w:rsid w:val="00204369"/>
    <w:rsid w:val="002047FB"/>
    <w:rsid w:val="00204FBC"/>
    <w:rsid w:val="00205385"/>
    <w:rsid w:val="00215595"/>
    <w:rsid w:val="00215FC4"/>
    <w:rsid w:val="002174E3"/>
    <w:rsid w:val="00217EC1"/>
    <w:rsid w:val="002242A2"/>
    <w:rsid w:val="002268B8"/>
    <w:rsid w:val="00227A83"/>
    <w:rsid w:val="00230C85"/>
    <w:rsid w:val="00231217"/>
    <w:rsid w:val="00232C8D"/>
    <w:rsid w:val="00241C49"/>
    <w:rsid w:val="00245915"/>
    <w:rsid w:val="0024604A"/>
    <w:rsid w:val="0024655B"/>
    <w:rsid w:val="00251035"/>
    <w:rsid w:val="00252EC0"/>
    <w:rsid w:val="00253195"/>
    <w:rsid w:val="002545C1"/>
    <w:rsid w:val="00260A9B"/>
    <w:rsid w:val="00261B1C"/>
    <w:rsid w:val="0026358A"/>
    <w:rsid w:val="00264F17"/>
    <w:rsid w:val="00267D98"/>
    <w:rsid w:val="0027174C"/>
    <w:rsid w:val="00271785"/>
    <w:rsid w:val="00276E78"/>
    <w:rsid w:val="002826A9"/>
    <w:rsid w:val="00291D71"/>
    <w:rsid w:val="002924B4"/>
    <w:rsid w:val="002976CC"/>
    <w:rsid w:val="002A4987"/>
    <w:rsid w:val="002A7BD4"/>
    <w:rsid w:val="002B0D1A"/>
    <w:rsid w:val="002B3CA7"/>
    <w:rsid w:val="002B5ADB"/>
    <w:rsid w:val="002B7757"/>
    <w:rsid w:val="002C070F"/>
    <w:rsid w:val="002C2057"/>
    <w:rsid w:val="002C2454"/>
    <w:rsid w:val="002C3D65"/>
    <w:rsid w:val="002C5F03"/>
    <w:rsid w:val="002C6FD3"/>
    <w:rsid w:val="002D2AF6"/>
    <w:rsid w:val="002D782C"/>
    <w:rsid w:val="002E0CF9"/>
    <w:rsid w:val="002E164B"/>
    <w:rsid w:val="002F021C"/>
    <w:rsid w:val="002F4D1F"/>
    <w:rsid w:val="00301F26"/>
    <w:rsid w:val="003021DE"/>
    <w:rsid w:val="00302EE6"/>
    <w:rsid w:val="0030371E"/>
    <w:rsid w:val="00306681"/>
    <w:rsid w:val="00310238"/>
    <w:rsid w:val="003102F7"/>
    <w:rsid w:val="0031099C"/>
    <w:rsid w:val="0031776A"/>
    <w:rsid w:val="00320F6D"/>
    <w:rsid w:val="0032240D"/>
    <w:rsid w:val="003257E2"/>
    <w:rsid w:val="00326C6A"/>
    <w:rsid w:val="0033148F"/>
    <w:rsid w:val="003316DF"/>
    <w:rsid w:val="00331FBB"/>
    <w:rsid w:val="003342E5"/>
    <w:rsid w:val="00335205"/>
    <w:rsid w:val="00336FBD"/>
    <w:rsid w:val="00341D66"/>
    <w:rsid w:val="00343113"/>
    <w:rsid w:val="00355E9F"/>
    <w:rsid w:val="003611AF"/>
    <w:rsid w:val="00363F95"/>
    <w:rsid w:val="00365811"/>
    <w:rsid w:val="003663AE"/>
    <w:rsid w:val="0036664B"/>
    <w:rsid w:val="0037151A"/>
    <w:rsid w:val="003721DA"/>
    <w:rsid w:val="00375E3B"/>
    <w:rsid w:val="0038080C"/>
    <w:rsid w:val="00381FC6"/>
    <w:rsid w:val="00382A18"/>
    <w:rsid w:val="00383F45"/>
    <w:rsid w:val="00385AD7"/>
    <w:rsid w:val="00385EE1"/>
    <w:rsid w:val="00392A94"/>
    <w:rsid w:val="00394384"/>
    <w:rsid w:val="0039611F"/>
    <w:rsid w:val="003A0740"/>
    <w:rsid w:val="003A2F94"/>
    <w:rsid w:val="003C251F"/>
    <w:rsid w:val="003C42AD"/>
    <w:rsid w:val="003D0197"/>
    <w:rsid w:val="003D241D"/>
    <w:rsid w:val="003E01A0"/>
    <w:rsid w:val="003E01ED"/>
    <w:rsid w:val="003E2234"/>
    <w:rsid w:val="003E3C7A"/>
    <w:rsid w:val="003E6690"/>
    <w:rsid w:val="003E688E"/>
    <w:rsid w:val="003F1BCC"/>
    <w:rsid w:val="003F25D5"/>
    <w:rsid w:val="003F36C2"/>
    <w:rsid w:val="003F6397"/>
    <w:rsid w:val="00400D19"/>
    <w:rsid w:val="00401511"/>
    <w:rsid w:val="00401D9D"/>
    <w:rsid w:val="00402DD8"/>
    <w:rsid w:val="00404E70"/>
    <w:rsid w:val="00406F06"/>
    <w:rsid w:val="0041032B"/>
    <w:rsid w:val="00413601"/>
    <w:rsid w:val="00413E20"/>
    <w:rsid w:val="00416824"/>
    <w:rsid w:val="004170EB"/>
    <w:rsid w:val="004208F4"/>
    <w:rsid w:val="004276F6"/>
    <w:rsid w:val="004336A5"/>
    <w:rsid w:val="00434F29"/>
    <w:rsid w:val="004350CD"/>
    <w:rsid w:val="0043620D"/>
    <w:rsid w:val="0044052F"/>
    <w:rsid w:val="004416BE"/>
    <w:rsid w:val="00441837"/>
    <w:rsid w:val="0044335D"/>
    <w:rsid w:val="00445584"/>
    <w:rsid w:val="00450E9D"/>
    <w:rsid w:val="00451E77"/>
    <w:rsid w:val="00457505"/>
    <w:rsid w:val="00457F39"/>
    <w:rsid w:val="00463ECD"/>
    <w:rsid w:val="00467E11"/>
    <w:rsid w:val="00472FB5"/>
    <w:rsid w:val="00474B7A"/>
    <w:rsid w:val="00481CFC"/>
    <w:rsid w:val="00482523"/>
    <w:rsid w:val="00482C35"/>
    <w:rsid w:val="00482C3A"/>
    <w:rsid w:val="00485DA0"/>
    <w:rsid w:val="00491318"/>
    <w:rsid w:val="00491BA4"/>
    <w:rsid w:val="004944A9"/>
    <w:rsid w:val="004945AA"/>
    <w:rsid w:val="0049701D"/>
    <w:rsid w:val="00497245"/>
    <w:rsid w:val="004A1234"/>
    <w:rsid w:val="004A286D"/>
    <w:rsid w:val="004A3E1F"/>
    <w:rsid w:val="004B3138"/>
    <w:rsid w:val="004B31C1"/>
    <w:rsid w:val="004B4A95"/>
    <w:rsid w:val="004C25F5"/>
    <w:rsid w:val="004C6207"/>
    <w:rsid w:val="004E08EC"/>
    <w:rsid w:val="004F13CE"/>
    <w:rsid w:val="004F5959"/>
    <w:rsid w:val="004F59EB"/>
    <w:rsid w:val="00501CB9"/>
    <w:rsid w:val="005029FB"/>
    <w:rsid w:val="00513859"/>
    <w:rsid w:val="00513FA1"/>
    <w:rsid w:val="00514929"/>
    <w:rsid w:val="005158FD"/>
    <w:rsid w:val="00521B1D"/>
    <w:rsid w:val="00526577"/>
    <w:rsid w:val="00527F34"/>
    <w:rsid w:val="0053056B"/>
    <w:rsid w:val="00537CE4"/>
    <w:rsid w:val="005420A0"/>
    <w:rsid w:val="00545FC6"/>
    <w:rsid w:val="00546E8B"/>
    <w:rsid w:val="00551536"/>
    <w:rsid w:val="0055541D"/>
    <w:rsid w:val="005574EF"/>
    <w:rsid w:val="0056509F"/>
    <w:rsid w:val="0056559D"/>
    <w:rsid w:val="00571C3F"/>
    <w:rsid w:val="00582787"/>
    <w:rsid w:val="005842BA"/>
    <w:rsid w:val="00585152"/>
    <w:rsid w:val="005926F4"/>
    <w:rsid w:val="005930FE"/>
    <w:rsid w:val="00594700"/>
    <w:rsid w:val="00594CC3"/>
    <w:rsid w:val="005A2C25"/>
    <w:rsid w:val="005A367A"/>
    <w:rsid w:val="005A6771"/>
    <w:rsid w:val="005A792D"/>
    <w:rsid w:val="005B1269"/>
    <w:rsid w:val="005B2CFC"/>
    <w:rsid w:val="005C197F"/>
    <w:rsid w:val="005D4D7B"/>
    <w:rsid w:val="005D687D"/>
    <w:rsid w:val="005D7A46"/>
    <w:rsid w:val="005E096B"/>
    <w:rsid w:val="005E7A84"/>
    <w:rsid w:val="005F095E"/>
    <w:rsid w:val="005F2369"/>
    <w:rsid w:val="005F4DBA"/>
    <w:rsid w:val="005F586C"/>
    <w:rsid w:val="005F700D"/>
    <w:rsid w:val="005F70A2"/>
    <w:rsid w:val="00602571"/>
    <w:rsid w:val="00607449"/>
    <w:rsid w:val="00607A91"/>
    <w:rsid w:val="00607F37"/>
    <w:rsid w:val="00611E5E"/>
    <w:rsid w:val="006177A2"/>
    <w:rsid w:val="00617E35"/>
    <w:rsid w:val="00620EAB"/>
    <w:rsid w:val="00631AB7"/>
    <w:rsid w:val="00631B25"/>
    <w:rsid w:val="00634B51"/>
    <w:rsid w:val="0064188E"/>
    <w:rsid w:val="00641BB2"/>
    <w:rsid w:val="00647493"/>
    <w:rsid w:val="0065096A"/>
    <w:rsid w:val="00654615"/>
    <w:rsid w:val="00655187"/>
    <w:rsid w:val="00660753"/>
    <w:rsid w:val="00661EBD"/>
    <w:rsid w:val="00670216"/>
    <w:rsid w:val="006721F8"/>
    <w:rsid w:val="00674613"/>
    <w:rsid w:val="00675AD1"/>
    <w:rsid w:val="00681FC0"/>
    <w:rsid w:val="00682324"/>
    <w:rsid w:val="0068455F"/>
    <w:rsid w:val="00686294"/>
    <w:rsid w:val="006916D2"/>
    <w:rsid w:val="006927E9"/>
    <w:rsid w:val="00692E56"/>
    <w:rsid w:val="00692E83"/>
    <w:rsid w:val="0069365D"/>
    <w:rsid w:val="006940E1"/>
    <w:rsid w:val="00694CE5"/>
    <w:rsid w:val="00696095"/>
    <w:rsid w:val="006A0EAF"/>
    <w:rsid w:val="006A16CA"/>
    <w:rsid w:val="006A184B"/>
    <w:rsid w:val="006A2986"/>
    <w:rsid w:val="006A2AF6"/>
    <w:rsid w:val="006A2BF1"/>
    <w:rsid w:val="006A2EC6"/>
    <w:rsid w:val="006A68BD"/>
    <w:rsid w:val="006B0B61"/>
    <w:rsid w:val="006B1BB0"/>
    <w:rsid w:val="006B2BF3"/>
    <w:rsid w:val="006B2E34"/>
    <w:rsid w:val="006B3B01"/>
    <w:rsid w:val="006C168E"/>
    <w:rsid w:val="006C2483"/>
    <w:rsid w:val="006C2D8E"/>
    <w:rsid w:val="006C323B"/>
    <w:rsid w:val="006C3686"/>
    <w:rsid w:val="006D3686"/>
    <w:rsid w:val="006D55BE"/>
    <w:rsid w:val="006D5A0D"/>
    <w:rsid w:val="006D7F06"/>
    <w:rsid w:val="006E36F2"/>
    <w:rsid w:val="006E416B"/>
    <w:rsid w:val="006E6318"/>
    <w:rsid w:val="006E65FC"/>
    <w:rsid w:val="006F4BE9"/>
    <w:rsid w:val="0070042E"/>
    <w:rsid w:val="007007E9"/>
    <w:rsid w:val="00701599"/>
    <w:rsid w:val="00706E6C"/>
    <w:rsid w:val="00710492"/>
    <w:rsid w:val="00711553"/>
    <w:rsid w:val="0071384F"/>
    <w:rsid w:val="00716291"/>
    <w:rsid w:val="00716CD8"/>
    <w:rsid w:val="00720F71"/>
    <w:rsid w:val="00721761"/>
    <w:rsid w:val="00724165"/>
    <w:rsid w:val="00726A56"/>
    <w:rsid w:val="00734EEA"/>
    <w:rsid w:val="00743524"/>
    <w:rsid w:val="00743703"/>
    <w:rsid w:val="00744F16"/>
    <w:rsid w:val="00752052"/>
    <w:rsid w:val="00757172"/>
    <w:rsid w:val="00757476"/>
    <w:rsid w:val="00760F52"/>
    <w:rsid w:val="00761AA3"/>
    <w:rsid w:val="007739AC"/>
    <w:rsid w:val="00774933"/>
    <w:rsid w:val="00774E2E"/>
    <w:rsid w:val="0078010D"/>
    <w:rsid w:val="007816C4"/>
    <w:rsid w:val="0079775D"/>
    <w:rsid w:val="007A04CB"/>
    <w:rsid w:val="007A33E2"/>
    <w:rsid w:val="007A374C"/>
    <w:rsid w:val="007A6E43"/>
    <w:rsid w:val="007B1B41"/>
    <w:rsid w:val="007B1E9C"/>
    <w:rsid w:val="007B3BCA"/>
    <w:rsid w:val="007B419E"/>
    <w:rsid w:val="007B45DC"/>
    <w:rsid w:val="007C23EA"/>
    <w:rsid w:val="007C4C5B"/>
    <w:rsid w:val="007C5567"/>
    <w:rsid w:val="007C6630"/>
    <w:rsid w:val="007C6ECF"/>
    <w:rsid w:val="007C7A61"/>
    <w:rsid w:val="007D1473"/>
    <w:rsid w:val="007D672A"/>
    <w:rsid w:val="007E3D4F"/>
    <w:rsid w:val="007E6472"/>
    <w:rsid w:val="007E7C30"/>
    <w:rsid w:val="007F33DA"/>
    <w:rsid w:val="007F515E"/>
    <w:rsid w:val="007F643F"/>
    <w:rsid w:val="007F7F4C"/>
    <w:rsid w:val="00804144"/>
    <w:rsid w:val="00807014"/>
    <w:rsid w:val="00810A75"/>
    <w:rsid w:val="008126DA"/>
    <w:rsid w:val="00814057"/>
    <w:rsid w:val="008155C3"/>
    <w:rsid w:val="00820F28"/>
    <w:rsid w:val="00822A2D"/>
    <w:rsid w:val="008234C1"/>
    <w:rsid w:val="008279D0"/>
    <w:rsid w:val="0083356A"/>
    <w:rsid w:val="0083764B"/>
    <w:rsid w:val="00843663"/>
    <w:rsid w:val="008439B4"/>
    <w:rsid w:val="00846C9F"/>
    <w:rsid w:val="008472AD"/>
    <w:rsid w:val="00850816"/>
    <w:rsid w:val="00862142"/>
    <w:rsid w:val="00863994"/>
    <w:rsid w:val="0086530D"/>
    <w:rsid w:val="00866C48"/>
    <w:rsid w:val="0087394E"/>
    <w:rsid w:val="0087625C"/>
    <w:rsid w:val="00882098"/>
    <w:rsid w:val="008861F6"/>
    <w:rsid w:val="00886350"/>
    <w:rsid w:val="00893605"/>
    <w:rsid w:val="00893C8B"/>
    <w:rsid w:val="0089562E"/>
    <w:rsid w:val="008A1AFB"/>
    <w:rsid w:val="008A4217"/>
    <w:rsid w:val="008A4A18"/>
    <w:rsid w:val="008A4A93"/>
    <w:rsid w:val="008A4B8A"/>
    <w:rsid w:val="008B7578"/>
    <w:rsid w:val="008C31C2"/>
    <w:rsid w:val="008C49A7"/>
    <w:rsid w:val="008C70B6"/>
    <w:rsid w:val="008D1918"/>
    <w:rsid w:val="008D2DF8"/>
    <w:rsid w:val="008D30DA"/>
    <w:rsid w:val="008D68EB"/>
    <w:rsid w:val="008E55FE"/>
    <w:rsid w:val="008E5C95"/>
    <w:rsid w:val="008E735E"/>
    <w:rsid w:val="008F11DB"/>
    <w:rsid w:val="008F2F4B"/>
    <w:rsid w:val="008F470C"/>
    <w:rsid w:val="008F7639"/>
    <w:rsid w:val="00904BEF"/>
    <w:rsid w:val="0090610F"/>
    <w:rsid w:val="009065E6"/>
    <w:rsid w:val="00910CC5"/>
    <w:rsid w:val="00912DAC"/>
    <w:rsid w:val="00915168"/>
    <w:rsid w:val="00915607"/>
    <w:rsid w:val="00917213"/>
    <w:rsid w:val="00923CC6"/>
    <w:rsid w:val="009261C7"/>
    <w:rsid w:val="009313EE"/>
    <w:rsid w:val="009318DD"/>
    <w:rsid w:val="00931B2B"/>
    <w:rsid w:val="00931EDD"/>
    <w:rsid w:val="00933E30"/>
    <w:rsid w:val="00935EF3"/>
    <w:rsid w:val="009406E2"/>
    <w:rsid w:val="00942218"/>
    <w:rsid w:val="0094322C"/>
    <w:rsid w:val="0094737E"/>
    <w:rsid w:val="0095370C"/>
    <w:rsid w:val="009617F2"/>
    <w:rsid w:val="009641C9"/>
    <w:rsid w:val="009708C7"/>
    <w:rsid w:val="009709B2"/>
    <w:rsid w:val="00971D62"/>
    <w:rsid w:val="009728C6"/>
    <w:rsid w:val="00972F2D"/>
    <w:rsid w:val="00975B5C"/>
    <w:rsid w:val="00976B8A"/>
    <w:rsid w:val="0098035E"/>
    <w:rsid w:val="00980448"/>
    <w:rsid w:val="009820A2"/>
    <w:rsid w:val="009823F7"/>
    <w:rsid w:val="0098422C"/>
    <w:rsid w:val="00992059"/>
    <w:rsid w:val="00994B48"/>
    <w:rsid w:val="009A1231"/>
    <w:rsid w:val="009A3E3E"/>
    <w:rsid w:val="009A690E"/>
    <w:rsid w:val="009A7C11"/>
    <w:rsid w:val="009B5F7B"/>
    <w:rsid w:val="009B63FA"/>
    <w:rsid w:val="009C6B2C"/>
    <w:rsid w:val="009C7A7B"/>
    <w:rsid w:val="009C7C67"/>
    <w:rsid w:val="009C7CEE"/>
    <w:rsid w:val="009D226E"/>
    <w:rsid w:val="009D4AD6"/>
    <w:rsid w:val="009E1593"/>
    <w:rsid w:val="009E267B"/>
    <w:rsid w:val="009E3892"/>
    <w:rsid w:val="009E3C3C"/>
    <w:rsid w:val="009F0D31"/>
    <w:rsid w:val="009F0F5C"/>
    <w:rsid w:val="009F2D17"/>
    <w:rsid w:val="009F368F"/>
    <w:rsid w:val="009F3D0E"/>
    <w:rsid w:val="009F5419"/>
    <w:rsid w:val="009F6AE9"/>
    <w:rsid w:val="00A007FB"/>
    <w:rsid w:val="00A034F5"/>
    <w:rsid w:val="00A03E6C"/>
    <w:rsid w:val="00A05095"/>
    <w:rsid w:val="00A05684"/>
    <w:rsid w:val="00A10F20"/>
    <w:rsid w:val="00A115BC"/>
    <w:rsid w:val="00A14FC9"/>
    <w:rsid w:val="00A1515D"/>
    <w:rsid w:val="00A2376C"/>
    <w:rsid w:val="00A23E1A"/>
    <w:rsid w:val="00A266EF"/>
    <w:rsid w:val="00A26758"/>
    <w:rsid w:val="00A26923"/>
    <w:rsid w:val="00A30359"/>
    <w:rsid w:val="00A305CC"/>
    <w:rsid w:val="00A30D1B"/>
    <w:rsid w:val="00A318E9"/>
    <w:rsid w:val="00A321DD"/>
    <w:rsid w:val="00A3295F"/>
    <w:rsid w:val="00A32B5E"/>
    <w:rsid w:val="00A43C08"/>
    <w:rsid w:val="00A467E5"/>
    <w:rsid w:val="00A46B50"/>
    <w:rsid w:val="00A47873"/>
    <w:rsid w:val="00A51ADD"/>
    <w:rsid w:val="00A52B08"/>
    <w:rsid w:val="00A61F4A"/>
    <w:rsid w:val="00A622FE"/>
    <w:rsid w:val="00A648D0"/>
    <w:rsid w:val="00A65611"/>
    <w:rsid w:val="00A66D8F"/>
    <w:rsid w:val="00A74952"/>
    <w:rsid w:val="00A800DF"/>
    <w:rsid w:val="00A80B7C"/>
    <w:rsid w:val="00A80CEA"/>
    <w:rsid w:val="00A82A74"/>
    <w:rsid w:val="00A8565B"/>
    <w:rsid w:val="00A94CBB"/>
    <w:rsid w:val="00A95FDF"/>
    <w:rsid w:val="00AA013C"/>
    <w:rsid w:val="00AA05FB"/>
    <w:rsid w:val="00AA0760"/>
    <w:rsid w:val="00AA14F0"/>
    <w:rsid w:val="00AA59B6"/>
    <w:rsid w:val="00AA5D4E"/>
    <w:rsid w:val="00AB0FEA"/>
    <w:rsid w:val="00AB285F"/>
    <w:rsid w:val="00AB2A14"/>
    <w:rsid w:val="00AB3FD0"/>
    <w:rsid w:val="00AB4F70"/>
    <w:rsid w:val="00AB62FA"/>
    <w:rsid w:val="00AB7177"/>
    <w:rsid w:val="00AB7D7A"/>
    <w:rsid w:val="00AC0E30"/>
    <w:rsid w:val="00AC1F78"/>
    <w:rsid w:val="00AC4929"/>
    <w:rsid w:val="00AC4B0F"/>
    <w:rsid w:val="00AD14E1"/>
    <w:rsid w:val="00AD1A97"/>
    <w:rsid w:val="00AD32B9"/>
    <w:rsid w:val="00AE0B79"/>
    <w:rsid w:val="00AE3130"/>
    <w:rsid w:val="00AE45A9"/>
    <w:rsid w:val="00AF1041"/>
    <w:rsid w:val="00AF1C95"/>
    <w:rsid w:val="00AF31D8"/>
    <w:rsid w:val="00AF53C6"/>
    <w:rsid w:val="00AF60F7"/>
    <w:rsid w:val="00B00644"/>
    <w:rsid w:val="00B00B19"/>
    <w:rsid w:val="00B00CE0"/>
    <w:rsid w:val="00B00DAB"/>
    <w:rsid w:val="00B01EE4"/>
    <w:rsid w:val="00B10D39"/>
    <w:rsid w:val="00B116DD"/>
    <w:rsid w:val="00B15F05"/>
    <w:rsid w:val="00B25A4F"/>
    <w:rsid w:val="00B269EE"/>
    <w:rsid w:val="00B350D3"/>
    <w:rsid w:val="00B359CE"/>
    <w:rsid w:val="00B35A3A"/>
    <w:rsid w:val="00B36978"/>
    <w:rsid w:val="00B434A8"/>
    <w:rsid w:val="00B43A7A"/>
    <w:rsid w:val="00B44C64"/>
    <w:rsid w:val="00B45DC7"/>
    <w:rsid w:val="00B5062D"/>
    <w:rsid w:val="00B60F89"/>
    <w:rsid w:val="00B651BE"/>
    <w:rsid w:val="00B67AAA"/>
    <w:rsid w:val="00B703FD"/>
    <w:rsid w:val="00B73C91"/>
    <w:rsid w:val="00B7755F"/>
    <w:rsid w:val="00B80B28"/>
    <w:rsid w:val="00B81D62"/>
    <w:rsid w:val="00B81E41"/>
    <w:rsid w:val="00B865D7"/>
    <w:rsid w:val="00B87A45"/>
    <w:rsid w:val="00B91860"/>
    <w:rsid w:val="00B9338A"/>
    <w:rsid w:val="00B943C7"/>
    <w:rsid w:val="00B95FC4"/>
    <w:rsid w:val="00B97C39"/>
    <w:rsid w:val="00BA315A"/>
    <w:rsid w:val="00BA6868"/>
    <w:rsid w:val="00BB082E"/>
    <w:rsid w:val="00BB0F4A"/>
    <w:rsid w:val="00BB3C38"/>
    <w:rsid w:val="00BB6666"/>
    <w:rsid w:val="00BC118B"/>
    <w:rsid w:val="00BC1F45"/>
    <w:rsid w:val="00BC5D3D"/>
    <w:rsid w:val="00BD08D4"/>
    <w:rsid w:val="00BD4822"/>
    <w:rsid w:val="00BD571D"/>
    <w:rsid w:val="00BD7554"/>
    <w:rsid w:val="00BD7576"/>
    <w:rsid w:val="00BE3631"/>
    <w:rsid w:val="00BE6633"/>
    <w:rsid w:val="00BF0679"/>
    <w:rsid w:val="00BF2E65"/>
    <w:rsid w:val="00BF3468"/>
    <w:rsid w:val="00BF5AC6"/>
    <w:rsid w:val="00C02518"/>
    <w:rsid w:val="00C03AC8"/>
    <w:rsid w:val="00C22561"/>
    <w:rsid w:val="00C2636F"/>
    <w:rsid w:val="00C270B2"/>
    <w:rsid w:val="00C27416"/>
    <w:rsid w:val="00C31908"/>
    <w:rsid w:val="00C31B52"/>
    <w:rsid w:val="00C33055"/>
    <w:rsid w:val="00C33D91"/>
    <w:rsid w:val="00C35E2B"/>
    <w:rsid w:val="00C37C43"/>
    <w:rsid w:val="00C416DF"/>
    <w:rsid w:val="00C41EFC"/>
    <w:rsid w:val="00C424DA"/>
    <w:rsid w:val="00C45913"/>
    <w:rsid w:val="00C52340"/>
    <w:rsid w:val="00C650D4"/>
    <w:rsid w:val="00C71ACC"/>
    <w:rsid w:val="00C73A7A"/>
    <w:rsid w:val="00C75A7E"/>
    <w:rsid w:val="00C75C3E"/>
    <w:rsid w:val="00C82049"/>
    <w:rsid w:val="00C929DF"/>
    <w:rsid w:val="00C96D9D"/>
    <w:rsid w:val="00CA3D22"/>
    <w:rsid w:val="00CA7517"/>
    <w:rsid w:val="00CB26A2"/>
    <w:rsid w:val="00CB5A6A"/>
    <w:rsid w:val="00CC1FEB"/>
    <w:rsid w:val="00CC3B54"/>
    <w:rsid w:val="00CC7551"/>
    <w:rsid w:val="00CC7C47"/>
    <w:rsid w:val="00CD4954"/>
    <w:rsid w:val="00CD5794"/>
    <w:rsid w:val="00CD76D4"/>
    <w:rsid w:val="00CE1900"/>
    <w:rsid w:val="00CE2437"/>
    <w:rsid w:val="00CF2AA8"/>
    <w:rsid w:val="00CF3B20"/>
    <w:rsid w:val="00CF3CA2"/>
    <w:rsid w:val="00CF3E7E"/>
    <w:rsid w:val="00CF5DA1"/>
    <w:rsid w:val="00CF753F"/>
    <w:rsid w:val="00D006C9"/>
    <w:rsid w:val="00D03725"/>
    <w:rsid w:val="00D04836"/>
    <w:rsid w:val="00D0686B"/>
    <w:rsid w:val="00D10B2D"/>
    <w:rsid w:val="00D153DB"/>
    <w:rsid w:val="00D15C63"/>
    <w:rsid w:val="00D20F53"/>
    <w:rsid w:val="00D26295"/>
    <w:rsid w:val="00D27B63"/>
    <w:rsid w:val="00D32710"/>
    <w:rsid w:val="00D34611"/>
    <w:rsid w:val="00D352AE"/>
    <w:rsid w:val="00D406B4"/>
    <w:rsid w:val="00D51D01"/>
    <w:rsid w:val="00D6000F"/>
    <w:rsid w:val="00D64EF3"/>
    <w:rsid w:val="00D66ED2"/>
    <w:rsid w:val="00D71ECA"/>
    <w:rsid w:val="00D724BD"/>
    <w:rsid w:val="00D72AE1"/>
    <w:rsid w:val="00D7354C"/>
    <w:rsid w:val="00D74F84"/>
    <w:rsid w:val="00D753B8"/>
    <w:rsid w:val="00D82D3D"/>
    <w:rsid w:val="00D85083"/>
    <w:rsid w:val="00D87E49"/>
    <w:rsid w:val="00D908F8"/>
    <w:rsid w:val="00D90C51"/>
    <w:rsid w:val="00D92582"/>
    <w:rsid w:val="00D94840"/>
    <w:rsid w:val="00D97991"/>
    <w:rsid w:val="00D97A79"/>
    <w:rsid w:val="00DA14E0"/>
    <w:rsid w:val="00DA46D3"/>
    <w:rsid w:val="00DA48EC"/>
    <w:rsid w:val="00DA76E4"/>
    <w:rsid w:val="00DA7703"/>
    <w:rsid w:val="00DB09DA"/>
    <w:rsid w:val="00DB440D"/>
    <w:rsid w:val="00DB5D8E"/>
    <w:rsid w:val="00DB6DD4"/>
    <w:rsid w:val="00DB7824"/>
    <w:rsid w:val="00DB7B55"/>
    <w:rsid w:val="00DC5B9B"/>
    <w:rsid w:val="00DD09BD"/>
    <w:rsid w:val="00DD46B3"/>
    <w:rsid w:val="00DD5A0D"/>
    <w:rsid w:val="00DD5DF5"/>
    <w:rsid w:val="00DE1439"/>
    <w:rsid w:val="00DE3AE2"/>
    <w:rsid w:val="00DE4499"/>
    <w:rsid w:val="00DE6AF9"/>
    <w:rsid w:val="00DE714E"/>
    <w:rsid w:val="00DF2455"/>
    <w:rsid w:val="00DF476B"/>
    <w:rsid w:val="00DF565E"/>
    <w:rsid w:val="00DF5B4C"/>
    <w:rsid w:val="00E00BED"/>
    <w:rsid w:val="00E03205"/>
    <w:rsid w:val="00E04272"/>
    <w:rsid w:val="00E10475"/>
    <w:rsid w:val="00E1210A"/>
    <w:rsid w:val="00E14629"/>
    <w:rsid w:val="00E26292"/>
    <w:rsid w:val="00E3320C"/>
    <w:rsid w:val="00E478F4"/>
    <w:rsid w:val="00E5124D"/>
    <w:rsid w:val="00E545C2"/>
    <w:rsid w:val="00E5620F"/>
    <w:rsid w:val="00E56CAC"/>
    <w:rsid w:val="00E6261E"/>
    <w:rsid w:val="00E6390E"/>
    <w:rsid w:val="00E63AAB"/>
    <w:rsid w:val="00E66A10"/>
    <w:rsid w:val="00E71EA8"/>
    <w:rsid w:val="00E735AC"/>
    <w:rsid w:val="00E77AE0"/>
    <w:rsid w:val="00E8000C"/>
    <w:rsid w:val="00E817D8"/>
    <w:rsid w:val="00E85A23"/>
    <w:rsid w:val="00E86F06"/>
    <w:rsid w:val="00E873B7"/>
    <w:rsid w:val="00E9317B"/>
    <w:rsid w:val="00EA0C93"/>
    <w:rsid w:val="00EA37A2"/>
    <w:rsid w:val="00EA5464"/>
    <w:rsid w:val="00EB4ACD"/>
    <w:rsid w:val="00EB6014"/>
    <w:rsid w:val="00EC081E"/>
    <w:rsid w:val="00EC162F"/>
    <w:rsid w:val="00EC19A5"/>
    <w:rsid w:val="00EC1F15"/>
    <w:rsid w:val="00EC3A80"/>
    <w:rsid w:val="00EC54A1"/>
    <w:rsid w:val="00EC6638"/>
    <w:rsid w:val="00EC7283"/>
    <w:rsid w:val="00ED1FF4"/>
    <w:rsid w:val="00ED58BB"/>
    <w:rsid w:val="00EE2A36"/>
    <w:rsid w:val="00EE3FC7"/>
    <w:rsid w:val="00EE5D6B"/>
    <w:rsid w:val="00EE6D92"/>
    <w:rsid w:val="00EE7683"/>
    <w:rsid w:val="00EF03F7"/>
    <w:rsid w:val="00EF2D9F"/>
    <w:rsid w:val="00F06971"/>
    <w:rsid w:val="00F06C72"/>
    <w:rsid w:val="00F0777F"/>
    <w:rsid w:val="00F12C36"/>
    <w:rsid w:val="00F13EE6"/>
    <w:rsid w:val="00F15348"/>
    <w:rsid w:val="00F17C50"/>
    <w:rsid w:val="00F2130C"/>
    <w:rsid w:val="00F23B6C"/>
    <w:rsid w:val="00F24EF9"/>
    <w:rsid w:val="00F26FB4"/>
    <w:rsid w:val="00F31A8F"/>
    <w:rsid w:val="00F31AF6"/>
    <w:rsid w:val="00F33B15"/>
    <w:rsid w:val="00F34424"/>
    <w:rsid w:val="00F34ED8"/>
    <w:rsid w:val="00F37859"/>
    <w:rsid w:val="00F42FFE"/>
    <w:rsid w:val="00F50C79"/>
    <w:rsid w:val="00F51D20"/>
    <w:rsid w:val="00F547AD"/>
    <w:rsid w:val="00F560D1"/>
    <w:rsid w:val="00F6196C"/>
    <w:rsid w:val="00F62169"/>
    <w:rsid w:val="00F622B9"/>
    <w:rsid w:val="00F720A9"/>
    <w:rsid w:val="00F76C66"/>
    <w:rsid w:val="00F83233"/>
    <w:rsid w:val="00F83DBD"/>
    <w:rsid w:val="00F86B58"/>
    <w:rsid w:val="00F939E4"/>
    <w:rsid w:val="00F9533A"/>
    <w:rsid w:val="00FA0879"/>
    <w:rsid w:val="00FA0E02"/>
    <w:rsid w:val="00FA10AD"/>
    <w:rsid w:val="00FA1325"/>
    <w:rsid w:val="00FA154B"/>
    <w:rsid w:val="00FA19FD"/>
    <w:rsid w:val="00FB087C"/>
    <w:rsid w:val="00FB43D0"/>
    <w:rsid w:val="00FB4D18"/>
    <w:rsid w:val="00FB687C"/>
    <w:rsid w:val="00FB6A14"/>
    <w:rsid w:val="00FB78CA"/>
    <w:rsid w:val="00FC48F0"/>
    <w:rsid w:val="00FD2ECA"/>
    <w:rsid w:val="00FD4283"/>
    <w:rsid w:val="00FD5CDB"/>
    <w:rsid w:val="00FE193D"/>
    <w:rsid w:val="00FE3A7C"/>
    <w:rsid w:val="00FE415E"/>
    <w:rsid w:val="00FE419D"/>
    <w:rsid w:val="00FE4650"/>
    <w:rsid w:val="00FE46B4"/>
    <w:rsid w:val="00FF266A"/>
    <w:rsid w:val="00FF7D8B"/>
    <w:rsid w:val="07770502"/>
    <w:rsid w:val="07CF074C"/>
    <w:rsid w:val="0CB41AFA"/>
    <w:rsid w:val="199A716F"/>
    <w:rsid w:val="19FE60F5"/>
    <w:rsid w:val="1BF46116"/>
    <w:rsid w:val="1BFF13AB"/>
    <w:rsid w:val="1CEDE050"/>
    <w:rsid w:val="2302021F"/>
    <w:rsid w:val="237F1017"/>
    <w:rsid w:val="2731462B"/>
    <w:rsid w:val="2A9EE7DA"/>
    <w:rsid w:val="2DBA012E"/>
    <w:rsid w:val="2F772CAC"/>
    <w:rsid w:val="2FCE7916"/>
    <w:rsid w:val="36FF1A8A"/>
    <w:rsid w:val="3D050278"/>
    <w:rsid w:val="3E5BB8F8"/>
    <w:rsid w:val="54D7AF62"/>
    <w:rsid w:val="54FFF636"/>
    <w:rsid w:val="56C65820"/>
    <w:rsid w:val="59BF6B9B"/>
    <w:rsid w:val="5BEF4DEA"/>
    <w:rsid w:val="5DF828A9"/>
    <w:rsid w:val="5EDDBE54"/>
    <w:rsid w:val="5F3E16F8"/>
    <w:rsid w:val="5FFF0538"/>
    <w:rsid w:val="66736C97"/>
    <w:rsid w:val="67FF6423"/>
    <w:rsid w:val="6BBE3F3C"/>
    <w:rsid w:val="6DE456AC"/>
    <w:rsid w:val="6EEFEFE6"/>
    <w:rsid w:val="6F56F871"/>
    <w:rsid w:val="6FCEEA5B"/>
    <w:rsid w:val="77C78B20"/>
    <w:rsid w:val="77F77329"/>
    <w:rsid w:val="78ED4E9C"/>
    <w:rsid w:val="78FF3861"/>
    <w:rsid w:val="7ADC5AB2"/>
    <w:rsid w:val="7B3EDD45"/>
    <w:rsid w:val="7BFB82D4"/>
    <w:rsid w:val="7CE60963"/>
    <w:rsid w:val="7E7B6862"/>
    <w:rsid w:val="7EF711F9"/>
    <w:rsid w:val="7EF741AB"/>
    <w:rsid w:val="7F3F31CF"/>
    <w:rsid w:val="7FF1E31A"/>
    <w:rsid w:val="7FF643D4"/>
    <w:rsid w:val="7FF78A07"/>
    <w:rsid w:val="97D6DE01"/>
    <w:rsid w:val="9BF6455E"/>
    <w:rsid w:val="9FBB9B0C"/>
    <w:rsid w:val="9FF3750F"/>
    <w:rsid w:val="B6FADAC9"/>
    <w:rsid w:val="B7372B40"/>
    <w:rsid w:val="B7B733C5"/>
    <w:rsid w:val="E7FF7574"/>
    <w:rsid w:val="EDDDC00E"/>
    <w:rsid w:val="EDEA86A3"/>
    <w:rsid w:val="EFEDF5C2"/>
    <w:rsid w:val="F0778BE5"/>
    <w:rsid w:val="F595B11E"/>
    <w:rsid w:val="F5FAAC04"/>
    <w:rsid w:val="F75F911E"/>
    <w:rsid w:val="F7FBFCF2"/>
    <w:rsid w:val="F99E5501"/>
    <w:rsid w:val="FD6BC80A"/>
    <w:rsid w:val="FDE21B29"/>
    <w:rsid w:val="FEF0B7D9"/>
    <w:rsid w:val="FF5F343E"/>
    <w:rsid w:val="FFDFD520"/>
    <w:rsid w:val="FFE2D1FB"/>
    <w:rsid w:val="FFF3F023"/>
    <w:rsid w:val="FFF71E46"/>
    <w:rsid w:val="FFFB9DAC"/>
    <w:rsid w:val="FFFE8BF8"/>
    <w:rsid w:val="FFFF7AE1"/>
    <w:rsid w:val="FFFF8E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0"/>
    <w:pPr>
      <w:ind w:firstLine="420" w:firstLineChars="200"/>
    </w:pPr>
    <w:rPr>
      <w:rFonts w:ascii="Times New Roman" w:hAnsi="Times New Roman" w:eastAsia="宋体" w:cs="Times New Roman"/>
      <w:szCs w:val="20"/>
    </w:rPr>
  </w:style>
  <w:style w:type="paragraph" w:styleId="4">
    <w:name w:val="annotation text"/>
    <w:basedOn w:val="1"/>
    <w:link w:val="20"/>
    <w:semiHidden/>
    <w:unhideWhenUsed/>
    <w:qFormat/>
    <w:uiPriority w:val="99"/>
    <w:pPr>
      <w:jc w:val="left"/>
    </w:pPr>
  </w:style>
  <w:style w:type="paragraph" w:styleId="5">
    <w:name w:val="Balloon Text"/>
    <w:basedOn w:val="1"/>
    <w:link w:val="22"/>
    <w:semiHidden/>
    <w:unhideWhenUsed/>
    <w:qFormat/>
    <w:uiPriority w:val="99"/>
    <w:rPr>
      <w:sz w:val="18"/>
      <w:szCs w:val="18"/>
    </w:rPr>
  </w:style>
  <w:style w:type="paragraph" w:styleId="6">
    <w:name w:val="footer"/>
    <w:basedOn w:val="1"/>
    <w:link w:val="18"/>
    <w:unhideWhenUsed/>
    <w:qFormat/>
    <w:uiPriority w:val="99"/>
    <w:pPr>
      <w:tabs>
        <w:tab w:val="center" w:pos="4153"/>
        <w:tab w:val="right" w:pos="8306"/>
      </w:tabs>
      <w:snapToGrid w:val="0"/>
      <w:jc w:val="left"/>
    </w:pPr>
    <w:rPr>
      <w:sz w:val="18"/>
      <w:szCs w:val="18"/>
    </w:rPr>
  </w:style>
  <w:style w:type="paragraph" w:styleId="7">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semiHidden/>
    <w:unhideWhenUsed/>
    <w:qFormat/>
    <w:uiPriority w:val="99"/>
    <w:pPr>
      <w:snapToGrid w:val="0"/>
      <w:jc w:val="left"/>
    </w:pPr>
    <w:rPr>
      <w:sz w:val="18"/>
    </w:rPr>
  </w:style>
  <w:style w:type="paragraph" w:styleId="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10">
    <w:name w:val="annotation subject"/>
    <w:basedOn w:val="4"/>
    <w:next w:val="4"/>
    <w:link w:val="21"/>
    <w:semiHidden/>
    <w:unhideWhenUsed/>
    <w:qFormat/>
    <w:uiPriority w:val="99"/>
    <w:rPr>
      <w:b/>
      <w:bCs/>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000FF" w:themeColor="hyperlink"/>
      <w:u w:val="single"/>
    </w:rPr>
  </w:style>
  <w:style w:type="character" w:styleId="15">
    <w:name w:val="annotation reference"/>
    <w:basedOn w:val="13"/>
    <w:semiHidden/>
    <w:unhideWhenUsed/>
    <w:qFormat/>
    <w:uiPriority w:val="99"/>
    <w:rPr>
      <w:sz w:val="21"/>
      <w:szCs w:val="21"/>
    </w:rPr>
  </w:style>
  <w:style w:type="character" w:styleId="16">
    <w:name w:val="footnote reference"/>
    <w:basedOn w:val="13"/>
    <w:semiHidden/>
    <w:unhideWhenUsed/>
    <w:qFormat/>
    <w:uiPriority w:val="99"/>
    <w:rPr>
      <w:vertAlign w:val="superscript"/>
    </w:rPr>
  </w:style>
  <w:style w:type="character" w:customStyle="1" w:styleId="17">
    <w:name w:val="页眉 字符"/>
    <w:basedOn w:val="13"/>
    <w:link w:val="7"/>
    <w:qFormat/>
    <w:uiPriority w:val="99"/>
    <w:rPr>
      <w:sz w:val="18"/>
      <w:szCs w:val="18"/>
    </w:rPr>
  </w:style>
  <w:style w:type="character" w:customStyle="1" w:styleId="18">
    <w:name w:val="页脚 字符"/>
    <w:basedOn w:val="13"/>
    <w:link w:val="6"/>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批注文字 字符"/>
    <w:basedOn w:val="13"/>
    <w:link w:val="4"/>
    <w:semiHidden/>
    <w:qFormat/>
    <w:uiPriority w:val="99"/>
    <w:rPr>
      <w:kern w:val="2"/>
      <w:sz w:val="21"/>
      <w:szCs w:val="22"/>
    </w:rPr>
  </w:style>
  <w:style w:type="character" w:customStyle="1" w:styleId="21">
    <w:name w:val="批注主题 字符"/>
    <w:basedOn w:val="20"/>
    <w:link w:val="10"/>
    <w:semiHidden/>
    <w:qFormat/>
    <w:uiPriority w:val="99"/>
    <w:rPr>
      <w:b/>
      <w:bCs/>
      <w:kern w:val="2"/>
      <w:sz w:val="21"/>
      <w:szCs w:val="22"/>
    </w:rPr>
  </w:style>
  <w:style w:type="character" w:customStyle="1" w:styleId="22">
    <w:name w:val="批注框文本 字符"/>
    <w:basedOn w:val="13"/>
    <w:link w:val="5"/>
    <w:semiHidden/>
    <w:qFormat/>
    <w:uiPriority w:val="99"/>
    <w:rPr>
      <w:kern w:val="2"/>
      <w:sz w:val="18"/>
      <w:szCs w:val="18"/>
    </w:rPr>
  </w:style>
  <w:style w:type="paragraph" w:customStyle="1" w:styleId="23">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4">
    <w:name w:val="标题 1 字符"/>
    <w:basedOn w:val="13"/>
    <w:link w:val="2"/>
    <w:qFormat/>
    <w:uiPriority w:val="9"/>
    <w:rPr>
      <w:rFonts w:asciiTheme="minorHAnsi" w:hAnsiTheme="minorHAnsi" w:eastAsiaTheme="minorEastAsia" w:cstheme="minorBidi"/>
      <w:b/>
      <w:bCs/>
      <w:kern w:val="44"/>
      <w:sz w:val="44"/>
      <w:szCs w:val="44"/>
    </w:rPr>
  </w:style>
  <w:style w:type="paragraph" w:customStyle="1" w:styleId="25">
    <w:name w:val="WW-题注"/>
    <w:basedOn w:val="1"/>
    <w:next w:val="1"/>
    <w:qFormat/>
    <w:uiPriority w:val="0"/>
    <w:pPr>
      <w:suppressAutoHyphens/>
      <w:spacing w:before="152" w:after="160"/>
      <w:textAlignment w:val="baseline"/>
    </w:pPr>
    <w:rPr>
      <w:rFonts w:ascii="Arial" w:hAnsi="Arial" w:eastAsia="黑体"/>
      <w:kern w:val="1"/>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42</Pages>
  <Words>2341</Words>
  <Characters>13345</Characters>
  <Lines>111</Lines>
  <Paragraphs>31</Paragraphs>
  <TotalTime>30</TotalTime>
  <ScaleCrop>false</ScaleCrop>
  <LinksUpToDate>false</LinksUpToDate>
  <CharactersWithSpaces>15655</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2019-04-21T22:17:00Z</dcterms:created>
  <dc:creator>杨亮亮</dc:creator>
  <cp:lastModifiedBy>林海</cp:lastModifiedBy>
  <cp:lastPrinted>2021-05-12T19:34:00Z</cp:lastPrinted>
  <dcterms:modified xsi:type="dcterms:W3CDTF">2021-05-12T04:48:33Z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4EE235015CF94D3F90453CBDC54FB2EC</vt:lpwstr>
  </property>
  <property fmtid="{D5CDD505-2E9C-101B-9397-08002B2CF9AE}" pid="4" name="KSOSaveFontToCloudKey">
    <vt:lpwstr>1196786689_embed</vt:lpwstr>
  </property>
</Properties>
</file>