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4"/>
          <w:szCs w:val="44"/>
        </w:rPr>
      </w:pPr>
      <w:r>
        <w:rPr>
          <w:rFonts w:hint="eastAsia" w:ascii="方正小标宋_GBK" w:eastAsia="方正小标宋_GBK"/>
          <w:sz w:val="44"/>
          <w:szCs w:val="44"/>
        </w:rPr>
        <w:t>关于征集20</w:t>
      </w:r>
      <w:r>
        <w:rPr>
          <w:rFonts w:ascii="方正小标宋_GBK" w:eastAsia="方正小标宋_GBK"/>
          <w:sz w:val="44"/>
          <w:szCs w:val="44"/>
        </w:rPr>
        <w:t>21</w:t>
      </w:r>
      <w:r>
        <w:rPr>
          <w:rFonts w:hint="eastAsia" w:ascii="方正小标宋_GBK" w:eastAsia="方正小标宋_GBK"/>
          <w:sz w:val="44"/>
          <w:szCs w:val="44"/>
        </w:rPr>
        <w:t>年度中关村天使和创业投资风险补贴资金支持项目的通知</w:t>
      </w:r>
    </w:p>
    <w:p>
      <w:pPr>
        <w:pStyle w:val="4"/>
        <w:ind w:firstLine="640"/>
      </w:pPr>
    </w:p>
    <w:p>
      <w:r>
        <w:t>各有关单位：</w:t>
      </w:r>
    </w:p>
    <w:p>
      <w:pPr>
        <w:ind w:firstLine="640"/>
      </w:pPr>
      <w:r>
        <w:t>为进一步支持中关村天使和创业投资快速健康发展，支持天使和创业投资机构投资中关村示范区企业，</w:t>
      </w:r>
      <w:r>
        <w:rPr>
          <w:rFonts w:hint="eastAsia"/>
        </w:rPr>
        <w:t>根据《中关村国家自主创新示范区促进科技金融深度融合创新发展支持资金管理办法》（京科发〔20</w:t>
      </w:r>
      <w:r>
        <w:t>21</w:t>
      </w:r>
      <w:r>
        <w:rPr>
          <w:rFonts w:hint="eastAsia"/>
        </w:rPr>
        <w:t>〕</w:t>
      </w:r>
      <w:r>
        <w:t>13</w:t>
      </w:r>
      <w:r>
        <w:rPr>
          <w:rFonts w:hint="eastAsia"/>
        </w:rPr>
        <w:t>号）、《〈中关村国家自主创新示范区促进科技金融深度融合创新发展支持资金管理办法〉实施细则（试行）》（京科金发〔20</w:t>
      </w:r>
      <w:r>
        <w:t>21</w:t>
      </w:r>
      <w:r>
        <w:rPr>
          <w:rFonts w:hint="eastAsia"/>
        </w:rPr>
        <w:t>〕5</w:t>
      </w:r>
      <w:r>
        <w:t>0</w:t>
      </w:r>
      <w:r>
        <w:rPr>
          <w:rFonts w:hint="eastAsia"/>
        </w:rPr>
        <w:t>号），现将20</w:t>
      </w:r>
      <w:r>
        <w:t>21</w:t>
      </w:r>
      <w:r>
        <w:rPr>
          <w:rFonts w:hint="eastAsia"/>
        </w:rPr>
        <w:t>年度中关村天使和创业投资风险补贴资金支持项目申报工作有关事项通知如下：</w:t>
      </w:r>
    </w:p>
    <w:p>
      <w:pPr>
        <w:ind w:firstLine="640"/>
        <w:rPr>
          <w:rFonts w:ascii="黑体" w:eastAsia="黑体"/>
        </w:rPr>
      </w:pPr>
      <w:r>
        <w:rPr>
          <w:rFonts w:hint="eastAsia" w:ascii="黑体" w:eastAsia="黑体"/>
        </w:rPr>
        <w:t>一、申报对象</w:t>
      </w:r>
    </w:p>
    <w:p>
      <w:pPr>
        <w:ind w:firstLine="640"/>
      </w:pPr>
      <w:r>
        <w:rPr>
          <w:rFonts w:hint="eastAsia"/>
        </w:rPr>
        <w:t>在中关村示范区开展天使和创业投资的投资机构。</w:t>
      </w:r>
    </w:p>
    <w:p>
      <w:pPr>
        <w:ind w:firstLine="640"/>
        <w:rPr>
          <w:rFonts w:ascii="黑体" w:eastAsia="黑体"/>
        </w:rPr>
      </w:pPr>
      <w:r>
        <w:rPr>
          <w:rFonts w:hint="eastAsia" w:ascii="黑体" w:eastAsia="黑体"/>
        </w:rPr>
        <w:t>二、</w:t>
      </w:r>
      <w:r>
        <w:rPr>
          <w:rFonts w:ascii="黑体" w:eastAsia="黑体"/>
        </w:rPr>
        <w:t>项目申报</w:t>
      </w:r>
    </w:p>
    <w:p>
      <w:pPr>
        <w:ind w:firstLine="641"/>
      </w:pPr>
      <w:r>
        <w:rPr>
          <w:rFonts w:hint="eastAsia"/>
        </w:rPr>
        <w:t>1.支持对象和支持内容</w:t>
      </w:r>
    </w:p>
    <w:p>
      <w:pPr>
        <w:ind w:firstLine="641"/>
      </w:pPr>
      <w:r>
        <w:rPr>
          <w:rFonts w:hint="eastAsia"/>
        </w:rPr>
        <w:t>支持投资机构在中关村示范区开展天使和创业投资（即在2020年</w:t>
      </w:r>
      <w:r>
        <w:t>7</w:t>
      </w:r>
      <w:r>
        <w:rPr>
          <w:rFonts w:hint="eastAsia"/>
        </w:rPr>
        <w:t>月1日至2020年</w:t>
      </w:r>
      <w:r>
        <w:t>12</w:t>
      </w:r>
      <w:r>
        <w:rPr>
          <w:rFonts w:hint="eastAsia"/>
        </w:rPr>
        <w:t>月3</w:t>
      </w:r>
      <w:r>
        <w:t>1</w:t>
      </w:r>
      <w:r>
        <w:rPr>
          <w:rFonts w:hint="eastAsia"/>
        </w:rPr>
        <w:t>日期间，投资机构所投资企业完成该轮投资的工商变更），聚焦投资中关村示范区高精尖产业领域、具有核心技术或自主知识产权的企业，引导早期投资、价值投资和长期投资，按照投资机构实际投资额的10%给予投资风险补贴资金支持，单笔补贴不超过100万元，每年每家投资机构补贴总额不超过200万元。</w:t>
      </w:r>
    </w:p>
    <w:p>
      <w:pPr>
        <w:ind w:firstLine="641"/>
      </w:pPr>
      <w:r>
        <w:rPr>
          <w:rFonts w:hint="eastAsia"/>
        </w:rPr>
        <w:t>2.支持条件（需同时满足以下条件）</w:t>
      </w:r>
    </w:p>
    <w:p>
      <w:pPr>
        <w:autoSpaceDN w:val="0"/>
        <w:adjustRightInd w:val="0"/>
        <w:snapToGrid w:val="0"/>
        <w:ind w:firstLine="640" w:firstLineChars="200"/>
      </w:pPr>
      <w:r>
        <w:rPr>
          <w:rFonts w:hint="eastAsia"/>
        </w:rPr>
        <w:t>（1）投资机构需在北京注册，注册资本在1000万元（含）以上，经营范围中应包含“投资”等相关字样；以受托管理资金进行投资的机构，需在中国证券投资基金业协会登记为私募基金管理人，其受托管理基金应在中国证券投资基金业协会备案，认缴受托管理资金规模在5000万元（含）以上，其中申请补贴的基金规模在2000万元（含）以上；</w:t>
      </w:r>
    </w:p>
    <w:p>
      <w:pPr>
        <w:ind w:firstLine="641"/>
      </w:pPr>
      <w:r>
        <w:rPr>
          <w:rFonts w:hint="eastAsia"/>
        </w:rPr>
        <w:t>（2）</w:t>
      </w:r>
      <w:r>
        <w:rPr>
          <w:rFonts w:hint="eastAsia"/>
          <w:spacing w:val="-4"/>
        </w:rPr>
        <w:t>所投资企业</w:t>
      </w:r>
      <w:r>
        <w:t>在</w:t>
      </w:r>
      <w:r>
        <w:rPr>
          <w:rFonts w:hint="eastAsia"/>
        </w:rPr>
        <w:t>申报时，需为中关村高新技术企业或注册在中关村示范区的国家高新技术企业，</w:t>
      </w:r>
      <w:r>
        <w:rPr>
          <w:rFonts w:hint="eastAsia"/>
          <w:spacing w:val="-4"/>
        </w:rPr>
        <w:t>符合中关村示范区高精尖产业</w:t>
      </w:r>
      <w:r>
        <w:rPr>
          <w:rFonts w:hint="eastAsia"/>
        </w:rPr>
        <w:t>领域、具有核心技术或自主知识产权（包括发明、实用新型、外观设计专利以及软件著作权等）；未在境内外证券交易所上市；企业自设立之日起到投资协议签订之日止不超过5年；投资机构对企业投资后所占股权比例不超过50%，且不为第一大股东；</w:t>
      </w:r>
    </w:p>
    <w:p>
      <w:pPr>
        <w:ind w:firstLine="641"/>
      </w:pPr>
      <w:r>
        <w:t>（3）</w:t>
      </w:r>
      <w:r>
        <w:rPr>
          <w:rFonts w:hint="eastAsia"/>
        </w:rPr>
        <w:t>对于同一家投资机构对同一企业的投资行为曾获得中关村天使和创投风险补贴资金支持，该投资机构对该企业进行后续投资的，不再重复支持；</w:t>
      </w:r>
    </w:p>
    <w:p>
      <w:pPr>
        <w:autoSpaceDN w:val="0"/>
        <w:adjustRightInd w:val="0"/>
        <w:snapToGrid w:val="0"/>
        <w:ind w:firstLine="640" w:firstLineChars="200"/>
        <w:rPr>
          <w:spacing w:val="-11"/>
        </w:rPr>
      </w:pPr>
      <w:r>
        <w:rPr>
          <w:rFonts w:hint="eastAsia"/>
        </w:rPr>
        <w:t>（</w:t>
      </w:r>
      <w:r>
        <w:t>4</w:t>
      </w:r>
      <w:r>
        <w:rPr>
          <w:rFonts w:hint="eastAsia"/>
        </w:rPr>
        <w:t>）投资机构</w:t>
      </w:r>
      <w:r>
        <w:rPr>
          <w:rFonts w:hint="eastAsia"/>
          <w:spacing w:val="-11"/>
        </w:rPr>
        <w:t>于所投资企业在工商部门完成股权变更后递交申请材料；</w:t>
      </w:r>
    </w:p>
    <w:p>
      <w:pPr>
        <w:ind w:firstLine="641"/>
      </w:pPr>
      <w:r>
        <w:rPr>
          <w:rFonts w:hint="eastAsia"/>
        </w:rPr>
        <w:t>（</w:t>
      </w:r>
      <w:r>
        <w:t>5</w:t>
      </w:r>
      <w:r>
        <w:rPr>
          <w:rFonts w:hint="eastAsia"/>
        </w:rPr>
        <w:t>）优先支持承诺将持有所投资企业股权时间超过5年的投资机构。</w:t>
      </w:r>
    </w:p>
    <w:p>
      <w:pPr>
        <w:ind w:firstLine="640"/>
        <w:rPr>
          <w:rFonts w:ascii="黑体" w:eastAsia="黑体"/>
        </w:rPr>
      </w:pPr>
      <w:r>
        <w:rPr>
          <w:rFonts w:hint="eastAsia" w:ascii="黑体" w:eastAsia="黑体"/>
        </w:rPr>
        <w:t>三、申报材料</w:t>
      </w:r>
    </w:p>
    <w:p>
      <w:pPr>
        <w:ind w:firstLine="640"/>
        <w:rPr>
          <w:rFonts w:ascii="楷体_GB2312" w:eastAsia="楷体_GB2312"/>
        </w:rPr>
      </w:pPr>
      <w:r>
        <w:rPr>
          <w:rFonts w:hint="eastAsia" w:ascii="楷体_GB2312" w:eastAsia="楷体_GB2312"/>
        </w:rPr>
        <w:t>（一）天使和创业投资风险补贴申请书</w:t>
      </w:r>
    </w:p>
    <w:p>
      <w:pPr>
        <w:ind w:firstLine="640"/>
        <w:rPr>
          <w:rFonts w:ascii="楷体_GB2312" w:eastAsia="楷体_GB2312"/>
        </w:rPr>
      </w:pPr>
      <w:r>
        <w:rPr>
          <w:rFonts w:hint="eastAsia" w:ascii="楷体_GB2312" w:eastAsia="楷体_GB2312"/>
        </w:rPr>
        <w:t>（二）投资机构材料包括：</w:t>
      </w:r>
    </w:p>
    <w:p>
      <w:pPr>
        <w:autoSpaceDE w:val="0"/>
        <w:autoSpaceDN w:val="0"/>
        <w:adjustRightInd w:val="0"/>
        <w:snapToGrid w:val="0"/>
        <w:ind w:firstLine="640" w:firstLineChars="200"/>
        <w:jc w:val="left"/>
      </w:pPr>
      <w:r>
        <w:t>1.</w:t>
      </w:r>
      <w:r>
        <w:rPr>
          <w:rFonts w:hint="eastAsia"/>
        </w:rPr>
        <w:t>加盖市场监督管理部门查询章的投资机构章程复印件；</w:t>
      </w:r>
    </w:p>
    <w:p>
      <w:pPr>
        <w:autoSpaceDE w:val="0"/>
        <w:autoSpaceDN w:val="0"/>
        <w:adjustRightInd w:val="0"/>
        <w:snapToGrid w:val="0"/>
        <w:ind w:firstLine="640" w:firstLineChars="200"/>
        <w:jc w:val="left"/>
        <w:rPr>
          <w:rFonts w:hAnsi="宋体" w:cs="宋体"/>
        </w:rPr>
      </w:pPr>
      <w:r>
        <w:t>2</w:t>
      </w:r>
      <w:r>
        <w:rPr>
          <w:rFonts w:hint="eastAsia"/>
        </w:rPr>
        <w:t>.</w:t>
      </w:r>
      <w:r>
        <w:rPr>
          <w:rFonts w:hint="eastAsia" w:hAnsi="宋体" w:cs="宋体"/>
        </w:rPr>
        <w:t>以受托管理资金进行投资的机构需提交私募基金管理人和相关基金产品在中国证券投资基金业协会备案的公示信息</w:t>
      </w:r>
      <w:r>
        <w:rPr>
          <w:rFonts w:hAnsi="宋体" w:cs="宋体"/>
        </w:rPr>
        <w:t>；</w:t>
      </w:r>
    </w:p>
    <w:p>
      <w:pPr>
        <w:autoSpaceDE w:val="0"/>
        <w:autoSpaceDN w:val="0"/>
        <w:adjustRightInd w:val="0"/>
        <w:snapToGrid w:val="0"/>
        <w:ind w:firstLine="640" w:firstLineChars="200"/>
        <w:jc w:val="left"/>
      </w:pPr>
      <w:r>
        <w:rPr>
          <w:rFonts w:hAnsi="宋体" w:cs="宋体"/>
        </w:rPr>
        <w:t>3.</w:t>
      </w:r>
      <w:r>
        <w:rPr>
          <w:rFonts w:hint="eastAsia" w:hAnsi="宋体" w:cs="宋体"/>
        </w:rPr>
        <w:t>以受托管理资金进行投资的</w:t>
      </w:r>
      <w:r>
        <w:rPr>
          <w:rFonts w:hAnsi="宋体" w:cs="宋体"/>
        </w:rPr>
        <w:t>，</w:t>
      </w:r>
      <w:r>
        <w:rPr>
          <w:rFonts w:hint="eastAsia"/>
        </w:rPr>
        <w:t>如受托管理的基金为有限合伙制，需提供受托管理基金的有限合伙协议；如受托管理的基金为公司制，需提供加盖市场监督管理部门查询章的公司章程及委托管理协议；如受托管理的基金为契约型基金，需提供基金投资人、基金管理人和基金托管人共同签署的基金合同；</w:t>
      </w:r>
    </w:p>
    <w:p>
      <w:pPr>
        <w:autoSpaceDE w:val="0"/>
        <w:autoSpaceDN w:val="0"/>
        <w:adjustRightInd w:val="0"/>
        <w:snapToGrid w:val="0"/>
        <w:ind w:firstLine="640" w:firstLineChars="200"/>
        <w:jc w:val="left"/>
      </w:pPr>
      <w:r>
        <w:t>4</w:t>
      </w:r>
      <w:r>
        <w:rPr>
          <w:rFonts w:hint="eastAsia"/>
        </w:rPr>
        <w:t>.投资机构承诺将持有所投资企业股权时间超过</w:t>
      </w:r>
      <w:r>
        <w:t>5年的相关材料（有相关承诺的机构需提供）</w:t>
      </w:r>
      <w:r>
        <w:rPr>
          <w:rFonts w:hint="eastAsia"/>
        </w:rPr>
        <w:t>。</w:t>
      </w:r>
    </w:p>
    <w:p>
      <w:pPr>
        <w:ind w:firstLine="640"/>
        <w:rPr>
          <w:rFonts w:ascii="楷体_GB2312" w:eastAsia="楷体_GB2312"/>
        </w:rPr>
      </w:pPr>
      <w:r>
        <w:rPr>
          <w:rFonts w:hint="eastAsia" w:ascii="楷体_GB2312" w:eastAsia="楷体_GB2312"/>
        </w:rPr>
        <w:t>（三）所投资企业材料包括：</w:t>
      </w:r>
    </w:p>
    <w:p>
      <w:pPr>
        <w:autoSpaceDE w:val="0"/>
        <w:autoSpaceDN w:val="0"/>
        <w:adjustRightInd w:val="0"/>
        <w:snapToGrid w:val="0"/>
        <w:ind w:firstLine="640" w:firstLineChars="200"/>
        <w:jc w:val="left"/>
      </w:pPr>
      <w:r>
        <w:t>1.</w:t>
      </w:r>
      <w:r>
        <w:rPr>
          <w:rFonts w:hint="eastAsia"/>
        </w:rPr>
        <w:t>加盖市场监督管理部门查询章的所投资公司章程或北京股权登记管理中心出具的股东名册中体现股东变更信息材料；</w:t>
      </w:r>
    </w:p>
    <w:p>
      <w:pPr>
        <w:autoSpaceDE w:val="0"/>
        <w:autoSpaceDN w:val="0"/>
        <w:adjustRightInd w:val="0"/>
        <w:snapToGrid w:val="0"/>
        <w:ind w:firstLine="640" w:firstLineChars="200"/>
        <w:jc w:val="left"/>
      </w:pPr>
      <w:r>
        <w:t>2</w:t>
      </w:r>
      <w:r>
        <w:rPr>
          <w:rFonts w:hint="eastAsia"/>
        </w:rPr>
        <w:t>.投资机构与所投资企业签订的投资协议复印件；</w:t>
      </w:r>
    </w:p>
    <w:p>
      <w:pPr>
        <w:autoSpaceDE w:val="0"/>
        <w:autoSpaceDN w:val="0"/>
        <w:adjustRightInd w:val="0"/>
        <w:snapToGrid w:val="0"/>
        <w:ind w:firstLine="640" w:firstLineChars="200"/>
        <w:jc w:val="left"/>
      </w:pPr>
      <w:r>
        <w:t>3</w:t>
      </w:r>
      <w:r>
        <w:rPr>
          <w:rFonts w:hint="eastAsia"/>
        </w:rPr>
        <w:t>.银行入资</w:t>
      </w:r>
      <w:r>
        <w:t>单</w:t>
      </w:r>
      <w:r>
        <w:rPr>
          <w:rFonts w:hint="eastAsia"/>
        </w:rPr>
        <w:t>复印件；</w:t>
      </w:r>
    </w:p>
    <w:p>
      <w:pPr>
        <w:autoSpaceDE w:val="0"/>
        <w:autoSpaceDN w:val="0"/>
        <w:adjustRightInd w:val="0"/>
        <w:snapToGrid w:val="0"/>
        <w:ind w:firstLine="640" w:firstLineChars="200"/>
        <w:jc w:val="left"/>
      </w:pPr>
      <w:r>
        <w:t>4.企业自主知识产权列表（包括名称、类别、证书发放日期证书编号等信息）及复印件（累计不超过5份）</w:t>
      </w:r>
      <w:r>
        <w:rPr>
          <w:rFonts w:hint="eastAsia"/>
        </w:rPr>
        <w:t>。</w:t>
      </w:r>
    </w:p>
    <w:p>
      <w:pPr>
        <w:ind w:firstLine="640"/>
        <w:rPr>
          <w:rFonts w:ascii="黑体" w:hAnsi="黑体" w:eastAsia="黑体"/>
        </w:rPr>
      </w:pPr>
      <w:r>
        <w:rPr>
          <w:rFonts w:hint="eastAsia" w:ascii="黑体" w:eastAsia="黑体"/>
        </w:rPr>
        <w:t>四、</w:t>
      </w:r>
      <w:r>
        <w:rPr>
          <w:rFonts w:hint="eastAsia" w:ascii="黑体" w:hAnsi="黑体" w:eastAsia="黑体"/>
        </w:rPr>
        <w:t>征集要求</w:t>
      </w:r>
    </w:p>
    <w:p>
      <w:pPr>
        <w:ind w:firstLine="640"/>
        <w:rPr>
          <w:rFonts w:ascii="楷体_GB2312" w:eastAsia="楷体_GB2312"/>
        </w:rPr>
      </w:pPr>
      <w:r>
        <w:rPr>
          <w:rFonts w:hint="eastAsia" w:ascii="楷体_GB2312" w:eastAsia="楷体_GB2312"/>
        </w:rPr>
        <w:t>（一）申报材料需用A4纸打印，胶装成册，装订线在左侧，封面、骑缝加盖企业公章。中文如无特殊要求一律采用简体，字号为四号宋体，行间距为20磅，英文、罗马字符、阿拉伯数字均采用Times New Roman字体。一式两份。</w:t>
      </w:r>
    </w:p>
    <w:p>
      <w:pPr>
        <w:ind w:firstLine="640" w:firstLineChars="200"/>
        <w:rPr>
          <w:rFonts w:ascii="楷体_GB2312" w:eastAsia="楷体_GB2312"/>
        </w:rPr>
      </w:pPr>
      <w:r>
        <w:rPr>
          <w:rFonts w:hint="eastAsia" w:ascii="楷体_GB2312" w:eastAsia="楷体_GB2312"/>
        </w:rPr>
        <w:t>（二）申请机构应承诺所提供资料的真实性、准确性，并按照市科委、中关村管委会要求提供相关申报材料的原件进行核验，若存在信息虚假情况，一经查实将取消申请资格。申报提交的相关材料仅用作当期当次评审使用，不再退回。</w:t>
      </w:r>
    </w:p>
    <w:p>
      <w:pPr>
        <w:ind w:firstLine="640"/>
        <w:rPr>
          <w:rFonts w:ascii="黑体" w:hAnsi="黑体" w:eastAsia="黑体"/>
        </w:rPr>
      </w:pPr>
      <w:r>
        <w:rPr>
          <w:rFonts w:hint="eastAsia" w:ascii="黑体" w:hAnsi="黑体" w:eastAsia="黑体"/>
        </w:rPr>
        <w:t>五、受理和咨询</w:t>
      </w:r>
    </w:p>
    <w:p>
      <w:pPr>
        <w:ind w:firstLine="640"/>
        <w:rPr>
          <w:rFonts w:ascii="楷体_GB2312" w:eastAsia="楷体_GB2312"/>
        </w:rPr>
      </w:pPr>
      <w:r>
        <w:rPr>
          <w:rFonts w:hint="eastAsia" w:ascii="楷体_GB2312" w:eastAsia="楷体_GB2312"/>
        </w:rPr>
        <w:t>（一）受理时间</w:t>
      </w:r>
    </w:p>
    <w:p>
      <w:pPr>
        <w:ind w:firstLine="640"/>
      </w:pPr>
      <w:r>
        <w:rPr>
          <w:rFonts w:hint="eastAsia"/>
        </w:rPr>
        <w:t>202</w:t>
      </w:r>
      <w:r>
        <w:t>1</w:t>
      </w:r>
      <w:r>
        <w:rPr>
          <w:rFonts w:hint="eastAsia"/>
        </w:rPr>
        <w:t>年</w:t>
      </w:r>
      <w:r>
        <w:t>7</w:t>
      </w:r>
      <w:r>
        <w:rPr>
          <w:rFonts w:hint="eastAsia"/>
        </w:rPr>
        <w:t>月</w:t>
      </w:r>
      <w:r>
        <w:t>8</w:t>
      </w:r>
      <w:r>
        <w:rPr>
          <w:rFonts w:hint="eastAsia"/>
        </w:rPr>
        <w:t>日（星期四）至202</w:t>
      </w:r>
      <w:r>
        <w:t>1</w:t>
      </w:r>
      <w:r>
        <w:rPr>
          <w:rFonts w:hint="eastAsia"/>
        </w:rPr>
        <w:t>年</w:t>
      </w:r>
      <w:r>
        <w:t>7</w:t>
      </w:r>
      <w:r>
        <w:rPr>
          <w:rFonts w:hint="eastAsia"/>
        </w:rPr>
        <w:t>月</w:t>
      </w:r>
      <w:r>
        <w:t>22</w:t>
      </w:r>
      <w:r>
        <w:rPr>
          <w:rFonts w:hint="eastAsia"/>
        </w:rPr>
        <w:t>日（星期四）上午9:00-12:00，下午14:00-1</w:t>
      </w:r>
      <w:r>
        <w:t>7</w:t>
      </w:r>
      <w:r>
        <w:rPr>
          <w:rFonts w:hint="eastAsia"/>
        </w:rPr>
        <w:t>:</w:t>
      </w:r>
      <w:r>
        <w:t>3</w:t>
      </w:r>
      <w:r>
        <w:rPr>
          <w:rFonts w:hint="eastAsia"/>
        </w:rPr>
        <w:t>0，快递或邮寄材料以寄出的标注时间为准，逾期不予受理。</w:t>
      </w:r>
    </w:p>
    <w:p>
      <w:pPr>
        <w:ind w:firstLine="640"/>
        <w:rPr>
          <w:rFonts w:ascii="楷体_GB2312" w:eastAsia="楷体_GB2312"/>
        </w:rPr>
      </w:pPr>
      <w:r>
        <w:rPr>
          <w:rFonts w:hint="eastAsia" w:ascii="楷体_GB2312" w:eastAsia="楷体_GB2312"/>
        </w:rPr>
        <w:t>（二）受理单位</w:t>
      </w:r>
    </w:p>
    <w:p>
      <w:pPr>
        <w:ind w:firstLine="640"/>
      </w:pPr>
      <w:r>
        <w:t>中关村创业投资和股权投资基金协会</w:t>
      </w:r>
      <w:r>
        <w:rPr>
          <w:rFonts w:hint="eastAsia"/>
        </w:rPr>
        <w:t xml:space="preserve"> 胡晓敏、刘阳</w:t>
      </w:r>
    </w:p>
    <w:p>
      <w:pPr>
        <w:ind w:firstLine="640"/>
      </w:pPr>
      <w:r>
        <w:rPr>
          <w:rFonts w:hint="eastAsia"/>
        </w:rPr>
        <w:t>电话：6</w:t>
      </w:r>
      <w:r>
        <w:t>8945496</w:t>
      </w:r>
    </w:p>
    <w:p>
      <w:pPr>
        <w:ind w:firstLine="640" w:firstLineChars="200"/>
        <w:rPr>
          <w:rFonts w:ascii="楷体_GB2312" w:eastAsia="楷体_GB2312"/>
        </w:rPr>
      </w:pPr>
      <w:r>
        <w:rPr>
          <w:rFonts w:hint="eastAsia" w:ascii="楷体_GB2312" w:eastAsia="楷体_GB2312"/>
        </w:rPr>
        <w:t>（三）申报方式</w:t>
      </w:r>
    </w:p>
    <w:p>
      <w:pPr>
        <w:ind w:firstLine="640" w:firstLineChars="200"/>
        <w:rPr>
          <w:color w:val="000000" w:themeColor="text1"/>
          <w14:textFill>
            <w14:solidFill>
              <w14:schemeClr w14:val="tx1"/>
            </w14:solidFill>
          </w14:textFill>
        </w:rPr>
      </w:pPr>
      <w:r>
        <w:t>1.</w:t>
      </w:r>
      <w:r>
        <w:rPr>
          <w:rFonts w:hint="eastAsia"/>
        </w:rPr>
        <w:t>本次项目申报采取线下申报方式进行。请各申请机构将申报材料邮寄至</w:t>
      </w:r>
      <w:r>
        <w:t>受理</w:t>
      </w:r>
      <w:r>
        <w:rPr>
          <w:rFonts w:hint="eastAsia"/>
        </w:rPr>
        <w:t>单位，</w:t>
      </w:r>
      <w:r>
        <w:rPr>
          <w:color w:val="000000" w:themeColor="text1"/>
          <w14:textFill>
            <w14:solidFill>
              <w14:schemeClr w14:val="tx1"/>
            </w14:solidFill>
          </w14:textFill>
        </w:rPr>
        <w:t>不接受闪送（含顺丰同城急送）、补件、换件、到付</w:t>
      </w:r>
      <w:r>
        <w:rPr>
          <w:rFonts w:hint="eastAsia"/>
          <w:color w:val="000000" w:themeColor="text1"/>
          <w14:textFill>
            <w14:solidFill>
              <w14:schemeClr w14:val="tx1"/>
            </w14:solidFill>
          </w14:textFill>
        </w:rPr>
        <w:t>。</w:t>
      </w:r>
    </w:p>
    <w:p>
      <w:pPr>
        <w:ind w:firstLine="64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2.</w:t>
      </w:r>
      <w:r>
        <w:rPr>
          <w:rFonts w:hint="eastAsia"/>
        </w:rPr>
        <w:t>邮寄地址。</w:t>
      </w:r>
      <w:r>
        <w:rPr>
          <w:rFonts w:hint="eastAsia"/>
          <w:color w:val="000000" w:themeColor="text1"/>
          <w14:textFill>
            <w14:solidFill>
              <w14:schemeClr w14:val="tx1"/>
            </w14:solidFill>
          </w14:textFill>
        </w:rPr>
        <w:t>收件地址：</w:t>
      </w:r>
      <w:r>
        <w:rPr>
          <w:color w:val="000000" w:themeColor="text1"/>
          <w14:textFill>
            <w14:solidFill>
              <w14:schemeClr w14:val="tx1"/>
            </w14:solidFill>
          </w14:textFill>
        </w:rPr>
        <w:t>海淀区</w:t>
      </w:r>
      <w:r>
        <w:rPr>
          <w:rFonts w:hint="eastAsia"/>
          <w:color w:val="000000" w:themeColor="text1"/>
          <w14:textFill>
            <w14:solidFill>
              <w14:schemeClr w14:val="tx1"/>
            </w14:solidFill>
          </w14:textFill>
        </w:rPr>
        <w:t>中关村大街1号海龙大厦L座1</w:t>
      </w:r>
      <w:r>
        <w:rPr>
          <w:color w:val="000000" w:themeColor="text1"/>
          <w14:textFill>
            <w14:solidFill>
              <w14:schemeClr w14:val="tx1"/>
            </w14:solidFill>
          </w14:textFill>
        </w:rPr>
        <w:t>6</w:t>
      </w:r>
      <w:r>
        <w:rPr>
          <w:rFonts w:hint="eastAsia"/>
          <w:color w:val="000000" w:themeColor="text1"/>
          <w14:textFill>
            <w14:solidFill>
              <w14:schemeClr w14:val="tx1"/>
            </w14:solidFill>
          </w14:textFill>
        </w:rPr>
        <w:t>层</w:t>
      </w:r>
      <w:r>
        <w:rPr>
          <w:color w:val="000000" w:themeColor="text1"/>
          <w14:textFill>
            <w14:solidFill>
              <w14:schemeClr w14:val="tx1"/>
            </w14:solidFill>
          </w14:textFill>
        </w:rPr>
        <w:t>；收件人：</w:t>
      </w:r>
      <w:r>
        <w:rPr>
          <w:rFonts w:hint="eastAsia"/>
          <w:color w:val="000000" w:themeColor="text1"/>
          <w14:textFill>
            <w14:solidFill>
              <w14:schemeClr w14:val="tx1"/>
            </w14:solidFill>
          </w14:textFill>
        </w:rPr>
        <w:t>胡晓敏；邮编：</w:t>
      </w:r>
      <w:r>
        <w:rPr>
          <w:color w:val="000000" w:themeColor="text1"/>
          <w14:textFill>
            <w14:solidFill>
              <w14:schemeClr w14:val="tx1"/>
            </w14:solidFill>
          </w14:textFill>
        </w:rPr>
        <w:t>100190</w:t>
      </w:r>
      <w:r>
        <w:rPr>
          <w:rFonts w:hint="eastAsia"/>
          <w:color w:val="000000" w:themeColor="text1"/>
          <w14:textFill>
            <w14:solidFill>
              <w14:schemeClr w14:val="tx1"/>
            </w14:solidFill>
          </w14:textFill>
        </w:rPr>
        <w:t>。</w:t>
      </w:r>
    </w:p>
    <w:p>
      <w:pPr>
        <w:ind w:firstLine="64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3.请各申报单位在填写项目申报书和寄送材料时务必留好详细联系方式，以便联系。</w:t>
      </w:r>
    </w:p>
    <w:p>
      <w:pPr>
        <w:ind w:firstLine="640"/>
        <w:rPr>
          <w:rFonts w:ascii="楷体_GB2312" w:eastAsia="楷体_GB2312"/>
        </w:rPr>
      </w:pPr>
      <w:r>
        <w:rPr>
          <w:rFonts w:hint="eastAsia" w:ascii="楷体_GB2312" w:eastAsia="楷体_GB2312"/>
        </w:rPr>
        <w:t>（四）</w:t>
      </w:r>
      <w:r>
        <w:rPr>
          <w:rFonts w:ascii="楷体_GB2312" w:eastAsia="楷体_GB2312"/>
        </w:rPr>
        <w:t>政策咨询</w:t>
      </w:r>
    </w:p>
    <w:p>
      <w:pPr>
        <w:ind w:firstLine="640" w:firstLineChars="200"/>
      </w:pPr>
      <w:r>
        <w:rPr>
          <w:rFonts w:hint="eastAsia"/>
        </w:rPr>
        <w:t>工作日上午9:00-12:00，下午14:00-1</w:t>
      </w:r>
      <w:r>
        <w:t>7</w:t>
      </w:r>
      <w:r>
        <w:rPr>
          <w:rFonts w:hint="eastAsia"/>
        </w:rPr>
        <w:t>:</w:t>
      </w:r>
      <w:r>
        <w:t>3</w:t>
      </w:r>
      <w:r>
        <w:rPr>
          <w:rFonts w:hint="eastAsia"/>
        </w:rPr>
        <w:t>0</w:t>
      </w:r>
    </w:p>
    <w:p>
      <w:pPr>
        <w:ind w:firstLine="640" w:firstLineChars="200"/>
      </w:pPr>
      <w:r>
        <w:rPr>
          <w:rFonts w:hint="eastAsia"/>
        </w:rPr>
        <w:t>市科委、中关村管委会科技金融处</w:t>
      </w:r>
      <w:r>
        <w:t xml:space="preserve"> </w:t>
      </w:r>
      <w:r>
        <w:rPr>
          <w:rFonts w:hint="eastAsia"/>
        </w:rPr>
        <w:t>王艺陶</w:t>
      </w:r>
    </w:p>
    <w:p>
      <w:pPr>
        <w:ind w:firstLine="640"/>
      </w:pPr>
      <w:r>
        <w:rPr>
          <w:rFonts w:hint="eastAsia"/>
        </w:rPr>
        <w:t>电话：</w:t>
      </w:r>
      <w:r>
        <w:t>55572339</w:t>
      </w:r>
    </w:p>
    <w:p>
      <w:pPr>
        <w:widowControl/>
        <w:ind w:firstLine="640" w:firstLineChars="200"/>
        <w:jc w:val="left"/>
      </w:pPr>
    </w:p>
    <w:p>
      <w:pPr>
        <w:widowControl/>
        <w:ind w:left="2080" w:leftChars="200" w:hanging="1440" w:hangingChars="450"/>
      </w:pPr>
      <w:r>
        <w:rPr>
          <w:rFonts w:hint="eastAsia"/>
        </w:rPr>
        <w:t>附件：天使和创业投资风险补贴资金申请书</w:t>
      </w:r>
    </w:p>
    <w:p>
      <w:pPr>
        <w:ind w:firstLine="640" w:firstLineChars="200"/>
        <w:jc w:val="center"/>
      </w:pPr>
      <w:r>
        <w:rPr>
          <w:rFonts w:hint="eastAsia"/>
        </w:rPr>
        <w:t xml:space="preserve">                  </w:t>
      </w:r>
    </w:p>
    <w:p>
      <w:pPr>
        <w:widowControl/>
        <w:suppressAutoHyphens w:val="0"/>
        <w:jc w:val="right"/>
      </w:pPr>
      <w:r>
        <w:t>北京市科学技术委员会、</w:t>
      </w:r>
    </w:p>
    <w:p>
      <w:pPr>
        <w:widowControl/>
        <w:suppressAutoHyphens w:val="0"/>
        <w:jc w:val="right"/>
        <w:rPr>
          <w:rFonts w:hint="eastAsia"/>
        </w:rPr>
      </w:pPr>
      <w:r>
        <w:t>中关村科技园区管理委员会</w:t>
      </w:r>
    </w:p>
    <w:p>
      <w:pPr>
        <w:widowControl/>
        <w:suppressAutoHyphens w:val="0"/>
        <w:ind w:right="640"/>
        <w:jc w:val="right"/>
      </w:pPr>
      <w:r>
        <w:t>2021年7月8日</w:t>
      </w:r>
    </w:p>
    <w:p>
      <w:pPr>
        <w:widowControl/>
        <w:suppressAutoHyphens w:val="0"/>
        <w:spacing w:line="240" w:lineRule="auto"/>
        <w:jc w:val="left"/>
      </w:pPr>
    </w:p>
    <w:p>
      <w:pPr>
        <w:widowControl/>
        <w:suppressAutoHyphens w:val="0"/>
        <w:spacing w:line="240" w:lineRule="auto"/>
        <w:jc w:val="left"/>
      </w:pPr>
    </w:p>
    <w:p>
      <w:pPr>
        <w:widowControl/>
        <w:suppressAutoHyphens w:val="0"/>
        <w:spacing w:line="240" w:lineRule="auto"/>
        <w:jc w:val="left"/>
      </w:pPr>
    </w:p>
    <w:p>
      <w:pPr>
        <w:widowControl/>
        <w:suppressAutoHyphens w:val="0"/>
        <w:spacing w:line="240" w:lineRule="auto"/>
        <w:jc w:val="left"/>
      </w:pPr>
    </w:p>
    <w:p>
      <w:pPr>
        <w:widowControl/>
        <w:suppressAutoHyphens w:val="0"/>
        <w:spacing w:line="240" w:lineRule="auto"/>
        <w:jc w:val="left"/>
      </w:pPr>
    </w:p>
    <w:p>
      <w:pPr>
        <w:widowControl/>
        <w:suppressAutoHyphens w:val="0"/>
        <w:spacing w:line="240" w:lineRule="auto"/>
        <w:jc w:val="left"/>
      </w:pPr>
    </w:p>
    <w:p>
      <w:pPr>
        <w:widowControl/>
        <w:suppressAutoHyphens w:val="0"/>
        <w:spacing w:line="240" w:lineRule="auto"/>
        <w:jc w:val="left"/>
      </w:pPr>
    </w:p>
    <w:p>
      <w:pPr>
        <w:pStyle w:val="4"/>
        <w:ind w:firstLine="640"/>
      </w:pPr>
    </w:p>
    <w:p>
      <w:pPr>
        <w:pStyle w:val="4"/>
        <w:ind w:firstLine="640"/>
      </w:pPr>
    </w:p>
    <w:p>
      <w:pPr>
        <w:pStyle w:val="4"/>
        <w:ind w:firstLine="640"/>
      </w:pPr>
    </w:p>
    <w:p>
      <w:pPr>
        <w:widowControl/>
        <w:suppressAutoHyphens w:val="0"/>
        <w:spacing w:line="240" w:lineRule="auto"/>
        <w:jc w:val="left"/>
        <w:rPr>
          <w:rFonts w:ascii="黑体" w:hAnsi="微软雅黑" w:eastAsia="黑体"/>
        </w:rPr>
      </w:pPr>
    </w:p>
    <w:p>
      <w:pPr>
        <w:widowControl/>
        <w:suppressAutoHyphens w:val="0"/>
        <w:spacing w:line="240" w:lineRule="auto"/>
        <w:jc w:val="left"/>
        <w:rPr>
          <w:rFonts w:ascii="黑体" w:hAnsi="微软雅黑" w:eastAsia="黑体"/>
        </w:rPr>
      </w:pPr>
    </w:p>
    <w:p>
      <w:pPr>
        <w:widowControl/>
        <w:suppressAutoHyphens w:val="0"/>
        <w:spacing w:line="240" w:lineRule="auto"/>
        <w:jc w:val="left"/>
        <w:rPr>
          <w:rFonts w:ascii="黑体" w:hAnsi="微软雅黑" w:eastAsia="黑体"/>
        </w:rPr>
      </w:pPr>
    </w:p>
    <w:p>
      <w:pPr>
        <w:widowControl/>
        <w:suppressAutoHyphens w:val="0"/>
        <w:spacing w:line="240" w:lineRule="auto"/>
        <w:jc w:val="left"/>
        <w:rPr>
          <w:rFonts w:ascii="黑体" w:hAnsi="微软雅黑" w:eastAsia="黑体"/>
        </w:rPr>
      </w:pPr>
    </w:p>
    <w:p>
      <w:pPr>
        <w:widowControl/>
        <w:suppressAutoHyphens w:val="0"/>
        <w:spacing w:line="240" w:lineRule="auto"/>
        <w:jc w:val="left"/>
        <w:rPr>
          <w:rFonts w:ascii="黑体" w:hAnsi="微软雅黑" w:eastAsia="黑体"/>
        </w:rPr>
      </w:pPr>
    </w:p>
    <w:p>
      <w:pPr>
        <w:widowControl/>
        <w:suppressAutoHyphens w:val="0"/>
        <w:spacing w:line="240" w:lineRule="auto"/>
        <w:jc w:val="left"/>
        <w:rPr>
          <w:rFonts w:ascii="黑体" w:hAnsi="微软雅黑" w:eastAsia="黑体"/>
        </w:rPr>
      </w:pPr>
    </w:p>
    <w:p>
      <w:pPr>
        <w:widowControl/>
        <w:suppressAutoHyphens w:val="0"/>
        <w:spacing w:line="240" w:lineRule="auto"/>
        <w:jc w:val="left"/>
        <w:rPr>
          <w:rFonts w:ascii="黑体" w:hAnsi="微软雅黑" w:eastAsia="黑体"/>
        </w:rPr>
      </w:pPr>
    </w:p>
    <w:p>
      <w:pPr>
        <w:widowControl/>
        <w:suppressAutoHyphens w:val="0"/>
        <w:spacing w:line="240" w:lineRule="auto"/>
        <w:jc w:val="left"/>
        <w:rPr>
          <w:rFonts w:ascii="黑体" w:hAnsi="微软雅黑" w:eastAsia="黑体"/>
        </w:rPr>
      </w:pPr>
    </w:p>
    <w:p>
      <w:pPr>
        <w:widowControl/>
        <w:suppressAutoHyphens w:val="0"/>
        <w:spacing w:line="240" w:lineRule="auto"/>
        <w:jc w:val="left"/>
        <w:rPr>
          <w:rFonts w:ascii="黑体" w:hAnsi="微软雅黑" w:eastAsia="黑体"/>
        </w:rPr>
      </w:pPr>
    </w:p>
    <w:p>
      <w:pPr>
        <w:widowControl/>
        <w:suppressAutoHyphens w:val="0"/>
        <w:spacing w:line="240" w:lineRule="auto"/>
        <w:jc w:val="left"/>
        <w:rPr>
          <w:rFonts w:ascii="黑体" w:hAnsi="微软雅黑" w:eastAsia="黑体"/>
        </w:rPr>
      </w:pPr>
    </w:p>
    <w:p>
      <w:pPr>
        <w:widowControl/>
        <w:suppressAutoHyphens w:val="0"/>
        <w:spacing w:line="240" w:lineRule="auto"/>
        <w:jc w:val="left"/>
        <w:rPr>
          <w:rFonts w:ascii="黑体" w:hAnsi="微软雅黑" w:eastAsia="黑体"/>
        </w:rPr>
      </w:pPr>
    </w:p>
    <w:p>
      <w:pPr>
        <w:widowControl/>
        <w:suppressAutoHyphens w:val="0"/>
        <w:spacing w:line="240" w:lineRule="auto"/>
        <w:jc w:val="left"/>
        <w:rPr>
          <w:rFonts w:hint="eastAsia" w:ascii="黑体" w:hAnsi="微软雅黑" w:eastAsia="黑体"/>
        </w:rPr>
      </w:pPr>
    </w:p>
    <w:p>
      <w:pPr>
        <w:widowControl/>
        <w:suppressAutoHyphens w:val="0"/>
        <w:spacing w:line="240" w:lineRule="auto"/>
        <w:jc w:val="left"/>
        <w:rPr>
          <w:rFonts w:ascii="黑体" w:hAnsi="微软雅黑" w:eastAsia="黑体"/>
        </w:rPr>
      </w:pPr>
    </w:p>
    <w:p>
      <w:pPr>
        <w:widowControl/>
        <w:suppressAutoHyphens w:val="0"/>
        <w:spacing w:line="240" w:lineRule="auto"/>
        <w:jc w:val="left"/>
      </w:pPr>
      <w:r>
        <w:rPr>
          <w:rFonts w:hint="eastAsia" w:ascii="黑体" w:hAnsi="微软雅黑" w:eastAsia="黑体"/>
        </w:rPr>
        <w:t>附件</w:t>
      </w:r>
    </w:p>
    <w:p>
      <w:pPr>
        <w:widowControl/>
        <w:spacing w:line="500" w:lineRule="exact"/>
        <w:ind w:left="-646" w:leftChars="-202" w:right="-518" w:rightChars="-162"/>
        <w:jc w:val="center"/>
      </w:pPr>
    </w:p>
    <w:p>
      <w:pPr>
        <w:widowControl/>
        <w:spacing w:line="500" w:lineRule="exact"/>
        <w:ind w:left="-646" w:leftChars="-202" w:right="-518" w:rightChars="-162"/>
        <w:jc w:val="center"/>
      </w:pPr>
    </w:p>
    <w:p>
      <w:pPr>
        <w:widowControl/>
        <w:spacing w:line="500" w:lineRule="exact"/>
        <w:ind w:left="-646" w:leftChars="-202" w:right="-518" w:rightChars="-162"/>
        <w:jc w:val="center"/>
      </w:pPr>
    </w:p>
    <w:p>
      <w:pPr>
        <w:widowControl/>
        <w:spacing w:line="500" w:lineRule="exact"/>
        <w:ind w:left="-646" w:leftChars="-202" w:right="-518" w:rightChars="-162"/>
        <w:jc w:val="center"/>
      </w:pPr>
    </w:p>
    <w:p>
      <w:pPr>
        <w:widowControl/>
        <w:spacing w:line="500" w:lineRule="exact"/>
        <w:ind w:left="-646" w:leftChars="-202" w:right="-518" w:rightChars="-162"/>
        <w:jc w:val="center"/>
      </w:pPr>
    </w:p>
    <w:p>
      <w:pPr>
        <w:widowControl/>
        <w:spacing w:line="500" w:lineRule="exact"/>
        <w:ind w:left="-646" w:leftChars="-202" w:right="-518" w:rightChars="-162"/>
        <w:jc w:val="center"/>
        <w:rPr>
          <w:rFonts w:ascii="方正小标宋_GBK" w:hAnsi="黑体" w:eastAsia="方正小标宋_GBK"/>
          <w:sz w:val="48"/>
          <w:szCs w:val="48"/>
        </w:rPr>
      </w:pPr>
      <w:r>
        <w:rPr>
          <w:rFonts w:hint="eastAsia" w:ascii="方正小标宋_GBK" w:hAnsi="黑体" w:eastAsia="方正小标宋_GBK"/>
          <w:sz w:val="48"/>
          <w:szCs w:val="48"/>
        </w:rPr>
        <w:t>天使和创业投资风险补贴资金</w:t>
      </w:r>
    </w:p>
    <w:p>
      <w:pPr>
        <w:widowControl/>
        <w:spacing w:line="500" w:lineRule="exact"/>
        <w:ind w:left="-646" w:leftChars="-202" w:right="-518" w:rightChars="-162"/>
        <w:jc w:val="center"/>
        <w:rPr>
          <w:rFonts w:ascii="方正小标宋_GBK" w:hAnsi="黑体" w:eastAsia="方正小标宋_GBK"/>
          <w:sz w:val="44"/>
          <w:szCs w:val="44"/>
        </w:rPr>
      </w:pPr>
    </w:p>
    <w:p>
      <w:pPr>
        <w:widowControl/>
        <w:spacing w:line="500" w:lineRule="exact"/>
        <w:ind w:left="-646" w:leftChars="-202" w:right="-518" w:rightChars="-162"/>
        <w:jc w:val="center"/>
        <w:rPr>
          <w:rFonts w:ascii="方正小标宋_GBK" w:hAnsi="黑体" w:eastAsia="方正小标宋_GBK"/>
          <w:sz w:val="48"/>
          <w:szCs w:val="48"/>
        </w:rPr>
      </w:pPr>
      <w:r>
        <w:rPr>
          <w:rFonts w:hint="eastAsia" w:ascii="方正小标宋_GBK" w:hAnsi="黑体" w:eastAsia="方正小标宋_GBK"/>
          <w:sz w:val="48"/>
          <w:szCs w:val="48"/>
        </w:rPr>
        <w:t>申请书</w:t>
      </w:r>
    </w:p>
    <w:p>
      <w:pPr>
        <w:widowControl/>
        <w:spacing w:line="500" w:lineRule="exact"/>
        <w:ind w:left="-646" w:leftChars="-202" w:right="-518" w:rightChars="-162"/>
        <w:jc w:val="center"/>
        <w:rPr>
          <w:rFonts w:ascii="黑体" w:hAnsi="黑体" w:eastAsia="黑体"/>
          <w:sz w:val="44"/>
          <w:szCs w:val="44"/>
        </w:rPr>
      </w:pPr>
    </w:p>
    <w:p>
      <w:pPr>
        <w:widowControl/>
        <w:spacing w:line="500" w:lineRule="exact"/>
        <w:ind w:left="-646" w:leftChars="-202" w:right="-518" w:rightChars="-162"/>
        <w:jc w:val="center"/>
        <w:rPr>
          <w:rFonts w:ascii="楷体_GB2312" w:hAnsi="黑体" w:eastAsia="楷体_GB2312"/>
        </w:rPr>
      </w:pPr>
    </w:p>
    <w:p>
      <w:pPr>
        <w:widowControl/>
        <w:spacing w:line="500" w:lineRule="exact"/>
        <w:ind w:left="-646" w:leftChars="-202" w:right="-518" w:rightChars="-162"/>
        <w:jc w:val="center"/>
        <w:rPr>
          <w:rFonts w:ascii="黑体" w:hAnsi="黑体" w:eastAsia="黑体"/>
          <w:sz w:val="44"/>
          <w:szCs w:val="44"/>
        </w:rPr>
      </w:pPr>
    </w:p>
    <w:p>
      <w:pPr>
        <w:widowControl/>
        <w:spacing w:line="500" w:lineRule="exact"/>
        <w:ind w:left="-646" w:leftChars="-202" w:right="-518" w:rightChars="-162"/>
        <w:jc w:val="center"/>
        <w:rPr>
          <w:rFonts w:ascii="黑体" w:hAnsi="黑体" w:eastAsia="黑体"/>
          <w:sz w:val="44"/>
          <w:szCs w:val="44"/>
        </w:rPr>
      </w:pPr>
    </w:p>
    <w:p>
      <w:pPr>
        <w:widowControl/>
        <w:spacing w:line="500" w:lineRule="exact"/>
        <w:ind w:right="-518" w:rightChars="-162"/>
        <w:rPr>
          <w:rFonts w:ascii="黑体" w:hAnsi="黑体" w:eastAsia="黑体"/>
          <w:sz w:val="44"/>
          <w:szCs w:val="44"/>
        </w:rPr>
      </w:pPr>
    </w:p>
    <w:p>
      <w:pPr>
        <w:widowControl/>
        <w:spacing w:line="500" w:lineRule="exact"/>
        <w:ind w:left="-646" w:leftChars="-202" w:right="-518" w:rightChars="-162"/>
        <w:jc w:val="center"/>
        <w:rPr>
          <w:rFonts w:ascii="黑体" w:hAnsi="黑体" w:eastAsia="黑体"/>
          <w:sz w:val="44"/>
          <w:szCs w:val="44"/>
        </w:rPr>
      </w:pPr>
    </w:p>
    <w:p>
      <w:pPr>
        <w:widowControl/>
        <w:spacing w:line="500" w:lineRule="exact"/>
        <w:ind w:left="-646" w:leftChars="-202" w:right="-518" w:rightChars="-162"/>
        <w:jc w:val="center"/>
        <w:rPr>
          <w:rFonts w:ascii="黑体" w:hAnsi="黑体" w:eastAsia="黑体"/>
          <w:sz w:val="44"/>
          <w:szCs w:val="44"/>
        </w:rPr>
      </w:pPr>
    </w:p>
    <w:p>
      <w:pPr>
        <w:widowControl/>
        <w:spacing w:line="500" w:lineRule="exact"/>
        <w:ind w:right="-518" w:rightChars="-162"/>
        <w:rPr>
          <w:rFonts w:ascii="黑体" w:hAnsi="黑体" w:eastAsia="黑体"/>
          <w:sz w:val="44"/>
          <w:szCs w:val="44"/>
        </w:rPr>
      </w:pPr>
    </w:p>
    <w:p>
      <w:pPr>
        <w:widowControl/>
        <w:spacing w:line="500" w:lineRule="exact"/>
        <w:ind w:left="-646" w:leftChars="-202" w:right="-518" w:rightChars="-162"/>
        <w:jc w:val="center"/>
        <w:rPr>
          <w:rFonts w:ascii="黑体" w:hAnsi="黑体" w:eastAsia="黑体"/>
          <w:sz w:val="44"/>
          <w:szCs w:val="44"/>
        </w:rPr>
      </w:pPr>
    </w:p>
    <w:p>
      <w:pPr>
        <w:widowControl/>
        <w:spacing w:line="600" w:lineRule="exact"/>
        <w:ind w:right="-518" w:rightChars="-162" w:firstLine="1417" w:firstLineChars="441"/>
        <w:jc w:val="left"/>
        <w:rPr>
          <w:b/>
        </w:rPr>
      </w:pPr>
      <w:r>
        <w:rPr>
          <w:rFonts w:hint="eastAsia"/>
          <w:b/>
        </w:rPr>
        <w:t>申报单位：</w:t>
      </w:r>
    </w:p>
    <w:p>
      <w:pPr>
        <w:widowControl/>
        <w:spacing w:line="600" w:lineRule="exact"/>
        <w:ind w:right="-518" w:rightChars="-162" w:firstLine="1417" w:firstLineChars="441"/>
        <w:jc w:val="left"/>
        <w:rPr>
          <w:b/>
          <w:u w:val="single"/>
        </w:rPr>
      </w:pPr>
      <w:r>
        <w:rPr>
          <w:rFonts w:hint="eastAsia"/>
          <w:b/>
        </w:rPr>
        <w:t>联系人及电话：</w:t>
      </w:r>
    </w:p>
    <w:p>
      <w:pPr>
        <w:widowControl/>
        <w:spacing w:line="600" w:lineRule="exact"/>
        <w:ind w:right="-518" w:rightChars="-162" w:firstLine="1417" w:firstLineChars="441"/>
        <w:jc w:val="left"/>
        <w:rPr>
          <w:b/>
          <w:u w:val="single"/>
        </w:rPr>
      </w:pPr>
      <w:r>
        <w:rPr>
          <w:rFonts w:hint="eastAsia"/>
          <w:b/>
        </w:rPr>
        <w:t>所投企业：</w:t>
      </w:r>
    </w:p>
    <w:p>
      <w:pPr>
        <w:widowControl/>
        <w:spacing w:line="600" w:lineRule="exact"/>
        <w:ind w:left="-646" w:leftChars="-202" w:right="-518" w:rightChars="-162" w:firstLine="646" w:firstLineChars="201"/>
        <w:jc w:val="center"/>
        <w:rPr>
          <w:b/>
        </w:rPr>
      </w:pPr>
    </w:p>
    <w:p>
      <w:pPr>
        <w:widowControl/>
        <w:spacing w:line="600" w:lineRule="exact"/>
        <w:ind w:left="-646" w:leftChars="-202" w:right="-518" w:rightChars="-162" w:firstLine="646" w:firstLineChars="201"/>
        <w:jc w:val="center"/>
        <w:rPr>
          <w:b/>
        </w:rPr>
      </w:pPr>
    </w:p>
    <w:p>
      <w:pPr>
        <w:widowControl/>
        <w:spacing w:line="600" w:lineRule="exact"/>
        <w:ind w:left="-646" w:leftChars="-202" w:right="-518" w:rightChars="-162" w:firstLine="646" w:firstLineChars="201"/>
        <w:jc w:val="center"/>
        <w:rPr>
          <w:b/>
        </w:rPr>
      </w:pPr>
    </w:p>
    <w:p>
      <w:pPr>
        <w:widowControl/>
        <w:spacing w:line="600" w:lineRule="exact"/>
        <w:ind w:left="-646" w:leftChars="-202" w:right="-518" w:rightChars="-162" w:firstLine="646" w:firstLineChars="201"/>
        <w:jc w:val="center"/>
        <w:rPr>
          <w:rFonts w:hint="eastAsia"/>
          <w:b/>
        </w:rPr>
      </w:pPr>
      <w:r>
        <w:rPr>
          <w:rFonts w:hint="eastAsia"/>
          <w:b/>
        </w:rPr>
        <w:t>二〇二一年七月</w:t>
      </w:r>
    </w:p>
    <w:p>
      <w:pPr>
        <w:widowControl/>
        <w:suppressAutoHyphens w:val="0"/>
        <w:spacing w:line="500" w:lineRule="exact"/>
        <w:rPr>
          <w:rFonts w:hint="eastAsia" w:ascii="方正小标宋_GBK" w:hAnsi="方正小标宋_GBK" w:eastAsia="方正小标宋_GBK" w:cs="方正小标宋_GBK"/>
          <w:sz w:val="44"/>
          <w:szCs w:val="44"/>
        </w:rPr>
      </w:pPr>
    </w:p>
    <w:p>
      <w:pPr>
        <w:widowControl/>
        <w:suppressAutoHyphens w:val="0"/>
        <w:spacing w:line="50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提交材料清单</w:t>
      </w:r>
    </w:p>
    <w:p>
      <w:pPr>
        <w:spacing w:line="500" w:lineRule="exact"/>
        <w:rPr>
          <w:rFonts w:ascii="楷体_GB2312" w:hAnsi="仿宋" w:eastAsia="楷体_GB2312"/>
          <w:b/>
        </w:rPr>
      </w:pPr>
    </w:p>
    <w:p>
      <w:pPr>
        <w:ind w:firstLine="643" w:firstLineChars="200"/>
      </w:pPr>
      <w:r>
        <w:rPr>
          <w:rFonts w:hint="eastAsia" w:ascii="楷体_GB2312" w:hAnsi="仿宋" w:eastAsia="楷体_GB2312"/>
          <w:b/>
        </w:rPr>
        <w:t>一、投资机构资质材料</w:t>
      </w:r>
    </w:p>
    <w:p>
      <w:pPr>
        <w:autoSpaceDE w:val="0"/>
        <w:autoSpaceDN w:val="0"/>
        <w:adjustRightInd w:val="0"/>
        <w:snapToGrid w:val="0"/>
        <w:ind w:firstLine="640" w:firstLineChars="200"/>
      </w:pPr>
      <w:r>
        <w:rPr>
          <w:rFonts w:hint="eastAsia"/>
        </w:rPr>
        <w:t>1.天使和创业投资风险补贴支持资金申请</w:t>
      </w:r>
      <w:r>
        <w:t>表；</w:t>
      </w:r>
      <w:r>
        <w:rPr>
          <w:rFonts w:hint="eastAsia"/>
        </w:rPr>
        <w:t>加盖市场监督管理部门查询章的投资机构章程复印件</w:t>
      </w:r>
      <w:r>
        <w:t>；</w:t>
      </w:r>
    </w:p>
    <w:p>
      <w:pPr>
        <w:widowControl/>
        <w:suppressAutoHyphens w:val="0"/>
        <w:ind w:firstLine="640" w:firstLineChars="200"/>
        <w:rPr>
          <w:rFonts w:hAnsi="仿宋"/>
        </w:rPr>
      </w:pPr>
      <w:r>
        <w:rPr>
          <w:rFonts w:hAnsi="仿宋"/>
        </w:rPr>
        <w:t>2</w:t>
      </w:r>
      <w:r>
        <w:rPr>
          <w:rFonts w:hint="eastAsia" w:hAnsi="仿宋"/>
        </w:rPr>
        <w:t>.以受托管理资金进行投资的机构需提交私募基金管理人和相关基金产品在中国证券投资基金业协会备案的公示信息</w:t>
      </w:r>
      <w:r>
        <w:rPr>
          <w:rFonts w:hAnsi="仿宋"/>
        </w:rPr>
        <w:t>；</w:t>
      </w:r>
    </w:p>
    <w:p>
      <w:pPr>
        <w:widowControl/>
        <w:suppressAutoHyphens w:val="0"/>
        <w:ind w:firstLine="640" w:firstLineChars="200"/>
        <w:rPr>
          <w:rFonts w:hAnsi="仿宋"/>
        </w:rPr>
      </w:pPr>
      <w:r>
        <w:rPr>
          <w:rFonts w:hAnsi="仿宋"/>
        </w:rPr>
        <w:t>3.</w:t>
      </w:r>
      <w:r>
        <w:rPr>
          <w:rFonts w:hint="eastAsia" w:hAnsi="仿宋"/>
        </w:rPr>
        <w:t>以受托管理资金进行投资的</w:t>
      </w:r>
      <w:r>
        <w:rPr>
          <w:rFonts w:hAnsi="仿宋"/>
        </w:rPr>
        <w:t>，</w:t>
      </w:r>
      <w:r>
        <w:rPr>
          <w:rFonts w:hint="eastAsia" w:hAnsi="仿宋"/>
        </w:rPr>
        <w:t>如受托管理的基金为有限合伙制，需提供受托管理基金的有限合伙协议；如受托管理的基金为公司制，需提供加盖市场监督管理部门查询章的公司章程及委托管理协议；如受托管理的基金为契约型基金，需提供基金投资人、基金管理人和基金托管人共同签署的基金合同；</w:t>
      </w:r>
    </w:p>
    <w:p>
      <w:pPr>
        <w:widowControl/>
        <w:suppressAutoHyphens w:val="0"/>
        <w:ind w:firstLine="640" w:firstLineChars="200"/>
        <w:rPr>
          <w:rFonts w:hAnsi="仿宋"/>
        </w:rPr>
      </w:pPr>
      <w:r>
        <w:rPr>
          <w:rFonts w:hAnsi="仿宋"/>
        </w:rPr>
        <w:t>4</w:t>
      </w:r>
      <w:r>
        <w:rPr>
          <w:rFonts w:hint="eastAsia" w:hAnsi="仿宋"/>
        </w:rPr>
        <w:t>.投资机构承诺将持有所投资企业股权时间超过</w:t>
      </w:r>
      <w:r>
        <w:rPr>
          <w:rFonts w:hAnsi="仿宋"/>
        </w:rPr>
        <w:t>5年的相关材料（有相关承诺的机构需提供）</w:t>
      </w:r>
      <w:r>
        <w:rPr>
          <w:rFonts w:hint="eastAsia" w:hAnsi="仿宋"/>
        </w:rPr>
        <w:t>。</w:t>
      </w:r>
    </w:p>
    <w:p>
      <w:pPr>
        <w:widowControl/>
        <w:suppressAutoHyphens w:val="0"/>
        <w:ind w:firstLine="643" w:firstLineChars="200"/>
        <w:jc w:val="left"/>
        <w:rPr>
          <w:rFonts w:hAnsi="仿宋"/>
        </w:rPr>
      </w:pPr>
      <w:r>
        <w:rPr>
          <w:rFonts w:hint="eastAsia" w:ascii="楷体_GB2312" w:hAnsi="仿宋" w:eastAsia="楷体_GB2312"/>
          <w:b/>
        </w:rPr>
        <w:t>二、所投企业材料</w:t>
      </w:r>
    </w:p>
    <w:p>
      <w:pPr>
        <w:widowControl/>
        <w:suppressAutoHyphens w:val="0"/>
        <w:ind w:firstLine="640" w:firstLineChars="200"/>
        <w:rPr>
          <w:rFonts w:hAnsi="仿宋"/>
        </w:rPr>
      </w:pPr>
      <w:r>
        <w:rPr>
          <w:rFonts w:hAnsi="仿宋"/>
        </w:rPr>
        <w:t>1.</w:t>
      </w:r>
      <w:r>
        <w:rPr>
          <w:rFonts w:hint="eastAsia" w:hAnsi="仿宋"/>
        </w:rPr>
        <w:t>加盖市场监督管理部门查询章的所投资公司章程或北京股权登记管理中心出具的股东名册中体现股东变更信息材料；</w:t>
      </w:r>
    </w:p>
    <w:p>
      <w:pPr>
        <w:widowControl/>
        <w:suppressAutoHyphens w:val="0"/>
        <w:ind w:firstLine="640" w:firstLineChars="200"/>
        <w:rPr>
          <w:rFonts w:hAnsi="仿宋"/>
        </w:rPr>
      </w:pPr>
      <w:r>
        <w:rPr>
          <w:rFonts w:hAnsi="仿宋"/>
        </w:rPr>
        <w:t>2</w:t>
      </w:r>
      <w:r>
        <w:rPr>
          <w:rFonts w:hint="eastAsia" w:hAnsi="仿宋"/>
        </w:rPr>
        <w:t>.投资机构与所投资企业签订的投资协议复印件；</w:t>
      </w:r>
    </w:p>
    <w:p>
      <w:pPr>
        <w:widowControl/>
        <w:suppressAutoHyphens w:val="0"/>
        <w:ind w:firstLine="640" w:firstLineChars="200"/>
        <w:rPr>
          <w:rFonts w:hAnsi="仿宋"/>
        </w:rPr>
      </w:pPr>
      <w:r>
        <w:rPr>
          <w:rFonts w:hAnsi="仿宋"/>
        </w:rPr>
        <w:t>3</w:t>
      </w:r>
      <w:r>
        <w:rPr>
          <w:rFonts w:hint="eastAsia" w:hAnsi="仿宋"/>
        </w:rPr>
        <w:t>.银行入资</w:t>
      </w:r>
      <w:r>
        <w:rPr>
          <w:rFonts w:hAnsi="仿宋"/>
        </w:rPr>
        <w:t>单</w:t>
      </w:r>
      <w:r>
        <w:rPr>
          <w:rFonts w:hint="eastAsia" w:hAnsi="仿宋"/>
        </w:rPr>
        <w:t>复印件；</w:t>
      </w:r>
    </w:p>
    <w:p>
      <w:pPr>
        <w:widowControl/>
        <w:suppressAutoHyphens w:val="0"/>
        <w:ind w:firstLine="640" w:firstLineChars="200"/>
        <w:rPr>
          <w:rFonts w:hAnsi="仿宋"/>
        </w:rPr>
      </w:pPr>
      <w:r>
        <w:rPr>
          <w:rFonts w:hAnsi="仿宋"/>
        </w:rPr>
        <w:t>4.企业自主知识产权列表（包括名称、类别、证书发放日期证书编号等信息）及复印件（累计不超过5份）</w:t>
      </w:r>
      <w:r>
        <w:rPr>
          <w:rFonts w:hint="eastAsia" w:hAnsi="仿宋"/>
        </w:rPr>
        <w:t>。</w:t>
      </w:r>
    </w:p>
    <w:p>
      <w:pPr>
        <w:jc w:val="center"/>
        <w:rPr>
          <w:rFonts w:ascii="方正小标宋_GBK" w:eastAsia="方正小标宋_GBK"/>
          <w:sz w:val="44"/>
          <w:szCs w:val="44"/>
        </w:rPr>
      </w:pPr>
    </w:p>
    <w:p>
      <w:pPr>
        <w:jc w:val="center"/>
        <w:rPr>
          <w:rFonts w:ascii="方正小标宋_GBK" w:eastAsia="方正小标宋_GBK"/>
          <w:sz w:val="44"/>
          <w:szCs w:val="44"/>
        </w:rPr>
      </w:pPr>
      <w:r>
        <w:rPr>
          <w:rFonts w:hint="eastAsia" w:ascii="方正小标宋_GBK" w:eastAsia="方正小标宋_GBK"/>
          <w:sz w:val="44"/>
          <w:szCs w:val="44"/>
        </w:rPr>
        <w:t>天使和创业投资风险补贴支持资金申请书</w:t>
      </w:r>
    </w:p>
    <w:p>
      <w:pPr>
        <w:jc w:val="center"/>
        <w:rPr>
          <w:rFonts w:ascii="方正小标宋_GBK" w:eastAsia="方正小标宋_GBK"/>
          <w:sz w:val="44"/>
          <w:szCs w:val="44"/>
        </w:rPr>
      </w:pPr>
    </w:p>
    <w:tbl>
      <w:tblPr>
        <w:tblStyle w:val="2"/>
        <w:tblW w:w="8647"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2015"/>
        <w:gridCol w:w="817"/>
        <w:gridCol w:w="1133"/>
        <w:gridCol w:w="139"/>
        <w:gridCol w:w="142"/>
        <w:gridCol w:w="994"/>
        <w:gridCol w:w="419"/>
        <w:gridCol w:w="147"/>
        <w:gridCol w:w="603"/>
        <w:gridCol w:w="1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708" w:type="dxa"/>
            <w:vMerge w:val="restart"/>
            <w:tcBorders>
              <w:tl2br w:val="nil"/>
              <w:tr2bl w:val="nil"/>
            </w:tcBorders>
            <w:textDirection w:val="tbRlV"/>
            <w:vAlign w:val="center"/>
          </w:tcPr>
          <w:p>
            <w:pPr>
              <w:spacing w:line="240" w:lineRule="auto"/>
              <w:ind w:left="113" w:right="113"/>
              <w:jc w:val="center"/>
              <w:rPr>
                <w:rFonts w:ascii="楷体_GB2312" w:hAnsi="Calibri" w:eastAsia="楷体_GB2312" w:cs="Times New Roman"/>
                <w:b/>
                <w:sz w:val="22"/>
                <w:szCs w:val="22"/>
              </w:rPr>
            </w:pPr>
            <w:r>
              <w:rPr>
                <w:rFonts w:hint="eastAsia" w:ascii="楷体_GB2312" w:hAnsi="Calibri" w:eastAsia="楷体_GB2312" w:cs="Times New Roman"/>
                <w:b/>
                <w:sz w:val="22"/>
                <w:szCs w:val="22"/>
              </w:rPr>
              <w:t>投资机构情况</w:t>
            </w:r>
          </w:p>
        </w:tc>
        <w:tc>
          <w:tcPr>
            <w:tcW w:w="2015" w:type="dxa"/>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名称</w:t>
            </w:r>
          </w:p>
        </w:tc>
        <w:tc>
          <w:tcPr>
            <w:tcW w:w="5924" w:type="dxa"/>
            <w:gridSpan w:val="9"/>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708" w:type="dxa"/>
            <w:vMerge w:val="continue"/>
            <w:tcBorders>
              <w:tl2br w:val="nil"/>
              <w:tr2bl w:val="nil"/>
            </w:tcBorders>
            <w:textDirection w:val="tbRlV"/>
            <w:vAlign w:val="center"/>
          </w:tcPr>
          <w:p>
            <w:pPr>
              <w:spacing w:line="240" w:lineRule="auto"/>
              <w:ind w:left="113" w:right="113"/>
              <w:jc w:val="center"/>
              <w:rPr>
                <w:rFonts w:ascii="楷体_GB2312" w:hAnsi="Calibri" w:eastAsia="楷体_GB2312" w:cs="Times New Roman"/>
                <w:b/>
                <w:sz w:val="22"/>
                <w:szCs w:val="22"/>
              </w:rPr>
            </w:pPr>
          </w:p>
        </w:tc>
        <w:tc>
          <w:tcPr>
            <w:tcW w:w="2015" w:type="dxa"/>
            <w:tcBorders>
              <w:tl2br w:val="nil"/>
              <w:tr2bl w:val="nil"/>
            </w:tcBorders>
            <w:vAlign w:val="center"/>
          </w:tcPr>
          <w:p>
            <w:pPr>
              <w:spacing w:line="240" w:lineRule="auto"/>
              <w:jc w:val="center"/>
              <w:rPr>
                <w:rFonts w:ascii="楷体_GB2312" w:hAnsi="Calibri" w:eastAsia="楷体_GB2312" w:cs="Times New Roman"/>
                <w:sz w:val="21"/>
                <w:szCs w:val="21"/>
              </w:rPr>
            </w:pPr>
            <w:r>
              <w:rPr>
                <w:rFonts w:ascii="楷体_GB2312" w:hAnsi="Calibri" w:eastAsia="楷体_GB2312" w:cs="Times New Roman"/>
                <w:sz w:val="21"/>
                <w:szCs w:val="21"/>
              </w:rPr>
              <w:t>经营范围</w:t>
            </w:r>
          </w:p>
        </w:tc>
        <w:tc>
          <w:tcPr>
            <w:tcW w:w="5924" w:type="dxa"/>
            <w:gridSpan w:val="9"/>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708" w:type="dxa"/>
            <w:vMerge w:val="continue"/>
            <w:tcBorders>
              <w:tl2br w:val="nil"/>
              <w:tr2bl w:val="nil"/>
            </w:tcBorders>
            <w:textDirection w:val="tbRlV"/>
            <w:vAlign w:val="center"/>
          </w:tcPr>
          <w:p>
            <w:pPr>
              <w:spacing w:line="240" w:lineRule="auto"/>
              <w:ind w:left="113" w:right="113"/>
              <w:jc w:val="center"/>
              <w:rPr>
                <w:rFonts w:ascii="楷体_GB2312" w:hAnsi="Calibri" w:eastAsia="楷体_GB2312" w:cs="Times New Roman"/>
                <w:b/>
                <w:sz w:val="22"/>
                <w:szCs w:val="22"/>
              </w:rPr>
            </w:pPr>
          </w:p>
        </w:tc>
        <w:tc>
          <w:tcPr>
            <w:tcW w:w="2015" w:type="dxa"/>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管理人登记编号</w:t>
            </w:r>
            <w:r>
              <w:rPr>
                <w:rFonts w:hint="eastAsia" w:ascii="宋体" w:hAnsi="宋体" w:eastAsia="宋体"/>
                <w:b/>
                <w:sz w:val="21"/>
                <w:szCs w:val="21"/>
                <w:vertAlign w:val="superscript"/>
              </w:rPr>
              <w:t>①</w:t>
            </w:r>
          </w:p>
        </w:tc>
        <w:tc>
          <w:tcPr>
            <w:tcW w:w="5924" w:type="dxa"/>
            <w:gridSpan w:val="9"/>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708" w:type="dxa"/>
            <w:vMerge w:val="continue"/>
            <w:tcBorders>
              <w:tl2br w:val="nil"/>
              <w:tr2bl w:val="nil"/>
            </w:tcBorders>
            <w:vAlign w:val="center"/>
          </w:tcPr>
          <w:p>
            <w:pPr>
              <w:spacing w:line="240" w:lineRule="auto"/>
              <w:ind w:left="113" w:right="113"/>
              <w:jc w:val="center"/>
              <w:rPr>
                <w:rFonts w:ascii="楷体_GB2312" w:hAnsi="Calibri" w:eastAsia="楷体_GB2312" w:cs="Times New Roman"/>
                <w:b/>
                <w:sz w:val="22"/>
                <w:szCs w:val="22"/>
              </w:rPr>
            </w:pPr>
          </w:p>
        </w:tc>
        <w:tc>
          <w:tcPr>
            <w:tcW w:w="2015" w:type="dxa"/>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注册地址</w:t>
            </w:r>
          </w:p>
        </w:tc>
        <w:tc>
          <w:tcPr>
            <w:tcW w:w="1950" w:type="dxa"/>
            <w:gridSpan w:val="2"/>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275"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注册资本</w:t>
            </w:r>
          </w:p>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（万元）</w:t>
            </w:r>
          </w:p>
        </w:tc>
        <w:tc>
          <w:tcPr>
            <w:tcW w:w="2699" w:type="dxa"/>
            <w:gridSpan w:val="4"/>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708" w:type="dxa"/>
            <w:vMerge w:val="continue"/>
            <w:tcBorders>
              <w:tl2br w:val="nil"/>
              <w:tr2bl w:val="nil"/>
            </w:tcBorders>
            <w:vAlign w:val="center"/>
          </w:tcPr>
          <w:p>
            <w:pPr>
              <w:spacing w:line="240" w:lineRule="auto"/>
              <w:ind w:left="113" w:right="113"/>
              <w:jc w:val="center"/>
              <w:rPr>
                <w:rFonts w:ascii="楷体_GB2312" w:hAnsi="Calibri" w:eastAsia="楷体_GB2312" w:cs="Times New Roman"/>
                <w:b/>
                <w:sz w:val="22"/>
                <w:szCs w:val="22"/>
              </w:rPr>
            </w:pPr>
          </w:p>
        </w:tc>
        <w:tc>
          <w:tcPr>
            <w:tcW w:w="2015" w:type="dxa"/>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开户银行</w:t>
            </w:r>
          </w:p>
          <w:p>
            <w:pPr>
              <w:spacing w:line="240" w:lineRule="auto"/>
              <w:ind w:left="-106" w:leftChars="-33" w:right="-106" w:rightChars="-33"/>
              <w:jc w:val="center"/>
              <w:rPr>
                <w:rFonts w:ascii="楷体_GB2312" w:hAnsi="Calibri" w:eastAsia="楷体_GB2312" w:cs="Times New Roman"/>
                <w:spacing w:val="-20"/>
                <w:sz w:val="21"/>
                <w:szCs w:val="21"/>
              </w:rPr>
            </w:pPr>
            <w:r>
              <w:rPr>
                <w:rFonts w:hint="eastAsia" w:ascii="楷体_GB2312" w:hAnsi="Calibri" w:eastAsia="楷体_GB2312" w:cs="Times New Roman"/>
                <w:spacing w:val="-20"/>
                <w:sz w:val="21"/>
                <w:szCs w:val="21"/>
              </w:rPr>
              <w:t>（具体至支行）</w:t>
            </w:r>
          </w:p>
        </w:tc>
        <w:tc>
          <w:tcPr>
            <w:tcW w:w="1950" w:type="dxa"/>
            <w:gridSpan w:val="2"/>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275"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开户账号</w:t>
            </w:r>
          </w:p>
        </w:tc>
        <w:tc>
          <w:tcPr>
            <w:tcW w:w="2699" w:type="dxa"/>
            <w:gridSpan w:val="4"/>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708" w:type="dxa"/>
            <w:vMerge w:val="restart"/>
            <w:tcBorders>
              <w:tl2br w:val="nil"/>
              <w:tr2bl w:val="nil"/>
            </w:tcBorders>
            <w:textDirection w:val="tbRlV"/>
            <w:vAlign w:val="center"/>
          </w:tcPr>
          <w:p>
            <w:pPr>
              <w:spacing w:line="240" w:lineRule="auto"/>
              <w:ind w:left="113" w:right="113"/>
              <w:jc w:val="center"/>
              <w:rPr>
                <w:rFonts w:ascii="楷体_GB2312" w:hAnsi="Calibri" w:eastAsia="楷体_GB2312" w:cs="Times New Roman"/>
                <w:b/>
                <w:sz w:val="22"/>
                <w:szCs w:val="22"/>
              </w:rPr>
            </w:pPr>
            <w:r>
              <w:rPr>
                <w:rFonts w:hint="eastAsia" w:ascii="楷体_GB2312" w:hAnsi="Calibri" w:eastAsia="楷体_GB2312" w:cs="Times New Roman"/>
                <w:b/>
                <w:sz w:val="22"/>
                <w:szCs w:val="22"/>
              </w:rPr>
              <w:t>联系人</w:t>
            </w:r>
          </w:p>
        </w:tc>
        <w:tc>
          <w:tcPr>
            <w:tcW w:w="2015" w:type="dxa"/>
            <w:tcBorders>
              <w:tl2br w:val="nil"/>
              <w:tr2bl w:val="nil"/>
            </w:tcBorders>
            <w:vAlign w:val="center"/>
          </w:tcPr>
          <w:p>
            <w:pPr>
              <w:spacing w:line="240" w:lineRule="auto"/>
              <w:jc w:val="center"/>
              <w:rPr>
                <w:rFonts w:ascii="楷体_GB2312" w:hAnsi="宋体" w:eastAsia="楷体_GB2312"/>
                <w:spacing w:val="-10"/>
                <w:sz w:val="21"/>
                <w:szCs w:val="21"/>
              </w:rPr>
            </w:pPr>
          </w:p>
        </w:tc>
        <w:tc>
          <w:tcPr>
            <w:tcW w:w="817" w:type="dxa"/>
            <w:tcBorders>
              <w:tl2br w:val="nil"/>
              <w:tr2bl w:val="nil"/>
            </w:tcBorders>
            <w:vAlign w:val="center"/>
          </w:tcPr>
          <w:p>
            <w:pPr>
              <w:spacing w:line="240" w:lineRule="auto"/>
              <w:jc w:val="center"/>
              <w:rPr>
                <w:rFonts w:ascii="楷体_GB2312" w:hAnsi="宋体" w:eastAsia="楷体_GB2312"/>
                <w:spacing w:val="-10"/>
                <w:sz w:val="21"/>
                <w:szCs w:val="21"/>
              </w:rPr>
            </w:pPr>
            <w:r>
              <w:rPr>
                <w:rFonts w:hint="eastAsia" w:ascii="楷体_GB2312" w:hAnsi="宋体" w:eastAsia="楷体_GB2312"/>
                <w:spacing w:val="-10"/>
                <w:sz w:val="21"/>
                <w:szCs w:val="21"/>
              </w:rPr>
              <w:t>姓名</w:t>
            </w:r>
          </w:p>
        </w:tc>
        <w:tc>
          <w:tcPr>
            <w:tcW w:w="1133" w:type="dxa"/>
            <w:tcBorders>
              <w:tl2br w:val="nil"/>
              <w:tr2bl w:val="nil"/>
            </w:tcBorders>
            <w:vAlign w:val="center"/>
          </w:tcPr>
          <w:p>
            <w:pPr>
              <w:spacing w:line="240" w:lineRule="auto"/>
              <w:jc w:val="center"/>
              <w:rPr>
                <w:rFonts w:ascii="楷体_GB2312" w:hAnsi="宋体" w:eastAsia="楷体_GB2312"/>
                <w:spacing w:val="-10"/>
                <w:sz w:val="21"/>
                <w:szCs w:val="21"/>
              </w:rPr>
            </w:pPr>
            <w:r>
              <w:rPr>
                <w:rFonts w:hint="eastAsia" w:ascii="楷体_GB2312" w:hAnsi="宋体" w:eastAsia="楷体_GB2312"/>
                <w:spacing w:val="-10"/>
                <w:sz w:val="21"/>
                <w:szCs w:val="21"/>
              </w:rPr>
              <w:t>职务</w:t>
            </w:r>
          </w:p>
        </w:tc>
        <w:tc>
          <w:tcPr>
            <w:tcW w:w="1275" w:type="dxa"/>
            <w:gridSpan w:val="3"/>
            <w:tcBorders>
              <w:tl2br w:val="nil"/>
              <w:tr2bl w:val="nil"/>
            </w:tcBorders>
            <w:vAlign w:val="center"/>
          </w:tcPr>
          <w:p>
            <w:pPr>
              <w:spacing w:line="240" w:lineRule="auto"/>
              <w:jc w:val="center"/>
              <w:rPr>
                <w:rFonts w:ascii="楷体_GB2312" w:hAnsi="宋体" w:eastAsia="楷体_GB2312"/>
                <w:spacing w:val="-10"/>
                <w:sz w:val="21"/>
                <w:szCs w:val="21"/>
              </w:rPr>
            </w:pPr>
            <w:r>
              <w:rPr>
                <w:rFonts w:hint="eastAsia" w:ascii="楷体_GB2312" w:hAnsi="宋体" w:eastAsia="楷体_GB2312"/>
                <w:spacing w:val="-10"/>
                <w:sz w:val="21"/>
                <w:szCs w:val="21"/>
              </w:rPr>
              <w:t>办公电话</w:t>
            </w:r>
          </w:p>
        </w:tc>
        <w:tc>
          <w:tcPr>
            <w:tcW w:w="1169" w:type="dxa"/>
            <w:gridSpan w:val="3"/>
            <w:tcBorders>
              <w:tl2br w:val="nil"/>
              <w:tr2bl w:val="nil"/>
            </w:tcBorders>
            <w:vAlign w:val="center"/>
          </w:tcPr>
          <w:p>
            <w:pPr>
              <w:spacing w:line="240" w:lineRule="auto"/>
              <w:ind w:left="-106" w:leftChars="-33" w:right="-106" w:rightChars="-33"/>
              <w:jc w:val="center"/>
              <w:rPr>
                <w:rFonts w:ascii="楷体_GB2312" w:hAnsi="宋体" w:eastAsia="楷体_GB2312"/>
                <w:spacing w:val="-10"/>
                <w:sz w:val="21"/>
                <w:szCs w:val="21"/>
              </w:rPr>
            </w:pPr>
            <w:r>
              <w:rPr>
                <w:rFonts w:hint="eastAsia" w:ascii="楷体_GB2312" w:hAnsi="宋体" w:eastAsia="楷体_GB2312"/>
                <w:spacing w:val="-10"/>
                <w:sz w:val="21"/>
                <w:szCs w:val="21"/>
              </w:rPr>
              <w:t>手机</w:t>
            </w:r>
          </w:p>
        </w:tc>
        <w:tc>
          <w:tcPr>
            <w:tcW w:w="1530" w:type="dxa"/>
            <w:tcBorders>
              <w:tl2br w:val="nil"/>
              <w:tr2bl w:val="nil"/>
            </w:tcBorders>
            <w:vAlign w:val="center"/>
          </w:tcPr>
          <w:p>
            <w:pPr>
              <w:spacing w:line="240" w:lineRule="auto"/>
              <w:jc w:val="center"/>
              <w:rPr>
                <w:rFonts w:ascii="楷体_GB2312" w:hAnsi="宋体" w:eastAsia="楷体_GB2312"/>
                <w:spacing w:val="-10"/>
                <w:sz w:val="21"/>
                <w:szCs w:val="21"/>
              </w:rPr>
            </w:pPr>
            <w:r>
              <w:rPr>
                <w:rFonts w:hint="eastAsia" w:ascii="楷体_GB2312" w:hAnsi="宋体" w:eastAsia="楷体_GB2312"/>
                <w:spacing w:val="-10"/>
                <w:sz w:val="21"/>
                <w:szCs w:val="21"/>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708" w:type="dxa"/>
            <w:vMerge w:val="continue"/>
            <w:tcBorders>
              <w:tl2br w:val="nil"/>
              <w:tr2bl w:val="nil"/>
            </w:tcBorders>
            <w:vAlign w:val="center"/>
          </w:tcPr>
          <w:p>
            <w:pPr>
              <w:spacing w:line="240" w:lineRule="auto"/>
              <w:jc w:val="center"/>
              <w:rPr>
                <w:rFonts w:ascii="楷体_GB2312" w:hAnsi="宋体" w:eastAsia="楷体_GB2312"/>
                <w:spacing w:val="-10"/>
                <w:sz w:val="21"/>
                <w:szCs w:val="21"/>
              </w:rPr>
            </w:pPr>
          </w:p>
        </w:tc>
        <w:tc>
          <w:tcPr>
            <w:tcW w:w="2015" w:type="dxa"/>
            <w:tcBorders>
              <w:tl2br w:val="nil"/>
              <w:tr2bl w:val="nil"/>
            </w:tcBorders>
            <w:vAlign w:val="center"/>
          </w:tcPr>
          <w:p>
            <w:pPr>
              <w:spacing w:line="240" w:lineRule="auto"/>
              <w:jc w:val="center"/>
              <w:rPr>
                <w:rFonts w:ascii="楷体_GB2312" w:hAnsi="宋体" w:eastAsia="楷体_GB2312"/>
                <w:spacing w:val="-10"/>
                <w:sz w:val="21"/>
                <w:szCs w:val="21"/>
              </w:rPr>
            </w:pPr>
            <w:r>
              <w:rPr>
                <w:rFonts w:hint="eastAsia" w:ascii="楷体_GB2312" w:hAnsi="宋体" w:eastAsia="楷体_GB2312"/>
                <w:spacing w:val="-10"/>
                <w:sz w:val="21"/>
                <w:szCs w:val="21"/>
              </w:rPr>
              <w:t>负责人</w:t>
            </w:r>
          </w:p>
          <w:p>
            <w:pPr>
              <w:spacing w:line="240" w:lineRule="auto"/>
              <w:ind w:left="-106" w:leftChars="-33" w:right="-106" w:rightChars="-33"/>
              <w:jc w:val="center"/>
              <w:rPr>
                <w:rFonts w:ascii="楷体_GB2312" w:hAnsi="宋体" w:eastAsia="楷体_GB2312"/>
                <w:spacing w:val="-10"/>
                <w:sz w:val="21"/>
                <w:szCs w:val="21"/>
              </w:rPr>
            </w:pPr>
            <w:r>
              <w:rPr>
                <w:rFonts w:hint="eastAsia" w:ascii="楷体_GB2312" w:hAnsi="宋体" w:eastAsia="楷体_GB2312"/>
                <w:spacing w:val="-10"/>
                <w:sz w:val="21"/>
                <w:szCs w:val="21"/>
              </w:rPr>
              <w:t>（副总及以上）</w:t>
            </w:r>
          </w:p>
        </w:tc>
        <w:tc>
          <w:tcPr>
            <w:tcW w:w="817" w:type="dxa"/>
            <w:tcBorders>
              <w:tl2br w:val="nil"/>
              <w:tr2bl w:val="nil"/>
            </w:tcBorders>
            <w:vAlign w:val="center"/>
          </w:tcPr>
          <w:p>
            <w:pPr>
              <w:spacing w:line="240" w:lineRule="auto"/>
              <w:jc w:val="center"/>
              <w:rPr>
                <w:rFonts w:ascii="楷体_GB2312" w:hAnsi="宋体" w:eastAsia="楷体_GB2312"/>
                <w:spacing w:val="-10"/>
                <w:sz w:val="21"/>
                <w:szCs w:val="21"/>
              </w:rPr>
            </w:pPr>
          </w:p>
        </w:tc>
        <w:tc>
          <w:tcPr>
            <w:tcW w:w="1133" w:type="dxa"/>
            <w:tcBorders>
              <w:tl2br w:val="nil"/>
              <w:tr2bl w:val="nil"/>
            </w:tcBorders>
            <w:vAlign w:val="center"/>
          </w:tcPr>
          <w:p>
            <w:pPr>
              <w:spacing w:line="240" w:lineRule="auto"/>
              <w:jc w:val="center"/>
              <w:rPr>
                <w:rFonts w:ascii="楷体_GB2312" w:hAnsi="宋体" w:eastAsia="楷体_GB2312"/>
                <w:spacing w:val="-10"/>
                <w:sz w:val="21"/>
                <w:szCs w:val="21"/>
              </w:rPr>
            </w:pPr>
          </w:p>
        </w:tc>
        <w:tc>
          <w:tcPr>
            <w:tcW w:w="1275" w:type="dxa"/>
            <w:gridSpan w:val="3"/>
            <w:tcBorders>
              <w:tl2br w:val="nil"/>
              <w:tr2bl w:val="nil"/>
            </w:tcBorders>
            <w:vAlign w:val="center"/>
          </w:tcPr>
          <w:p>
            <w:pPr>
              <w:spacing w:line="240" w:lineRule="auto"/>
              <w:jc w:val="center"/>
              <w:rPr>
                <w:rFonts w:ascii="楷体_GB2312" w:hAnsi="宋体" w:eastAsia="楷体_GB2312"/>
                <w:spacing w:val="-10"/>
                <w:sz w:val="21"/>
                <w:szCs w:val="21"/>
              </w:rPr>
            </w:pPr>
          </w:p>
        </w:tc>
        <w:tc>
          <w:tcPr>
            <w:tcW w:w="1169" w:type="dxa"/>
            <w:gridSpan w:val="3"/>
            <w:tcBorders>
              <w:tl2br w:val="nil"/>
              <w:tr2bl w:val="nil"/>
            </w:tcBorders>
            <w:vAlign w:val="center"/>
          </w:tcPr>
          <w:p>
            <w:pPr>
              <w:spacing w:line="240" w:lineRule="auto"/>
              <w:jc w:val="center"/>
              <w:rPr>
                <w:rFonts w:ascii="楷体_GB2312" w:hAnsi="宋体" w:eastAsia="楷体_GB2312"/>
                <w:spacing w:val="-10"/>
                <w:sz w:val="21"/>
                <w:szCs w:val="21"/>
              </w:rPr>
            </w:pPr>
          </w:p>
        </w:tc>
        <w:tc>
          <w:tcPr>
            <w:tcW w:w="1530" w:type="dxa"/>
            <w:tcBorders>
              <w:tl2br w:val="nil"/>
              <w:tr2bl w:val="nil"/>
            </w:tcBorders>
            <w:vAlign w:val="center"/>
          </w:tcPr>
          <w:p>
            <w:pPr>
              <w:spacing w:line="240" w:lineRule="auto"/>
              <w:jc w:val="center"/>
              <w:rPr>
                <w:rFonts w:ascii="楷体_GB2312" w:hAnsi="宋体" w:eastAsia="楷体_GB2312"/>
                <w:spacing w:val="-1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trPr>
        <w:tc>
          <w:tcPr>
            <w:tcW w:w="708" w:type="dxa"/>
            <w:vMerge w:val="continue"/>
            <w:tcBorders>
              <w:tl2br w:val="nil"/>
              <w:tr2bl w:val="nil"/>
            </w:tcBorders>
            <w:vAlign w:val="center"/>
          </w:tcPr>
          <w:p>
            <w:pPr>
              <w:spacing w:line="240" w:lineRule="auto"/>
              <w:jc w:val="center"/>
              <w:rPr>
                <w:rFonts w:ascii="楷体_GB2312" w:hAnsi="宋体" w:eastAsia="楷体_GB2312"/>
                <w:sz w:val="21"/>
                <w:szCs w:val="21"/>
              </w:rPr>
            </w:pPr>
          </w:p>
        </w:tc>
        <w:tc>
          <w:tcPr>
            <w:tcW w:w="2015" w:type="dxa"/>
            <w:tcBorders>
              <w:tl2br w:val="nil"/>
              <w:tr2bl w:val="nil"/>
            </w:tcBorders>
            <w:vAlign w:val="center"/>
          </w:tcPr>
          <w:p>
            <w:pPr>
              <w:spacing w:line="240" w:lineRule="auto"/>
              <w:jc w:val="center"/>
              <w:rPr>
                <w:rFonts w:ascii="楷体_GB2312" w:hAnsi="宋体" w:eastAsia="楷体_GB2312"/>
                <w:sz w:val="21"/>
                <w:szCs w:val="21"/>
              </w:rPr>
            </w:pPr>
            <w:r>
              <w:rPr>
                <w:rFonts w:hint="eastAsia" w:ascii="楷体_GB2312" w:hAnsi="宋体" w:eastAsia="楷体_GB2312"/>
                <w:sz w:val="21"/>
                <w:szCs w:val="21"/>
              </w:rPr>
              <w:t>联系人</w:t>
            </w:r>
          </w:p>
        </w:tc>
        <w:tc>
          <w:tcPr>
            <w:tcW w:w="817" w:type="dxa"/>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133" w:type="dxa"/>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275"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169"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530" w:type="dxa"/>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trPr>
        <w:tc>
          <w:tcPr>
            <w:tcW w:w="708" w:type="dxa"/>
            <w:vMerge w:val="restart"/>
            <w:tcBorders>
              <w:tl2br w:val="nil"/>
              <w:tr2bl w:val="nil"/>
            </w:tcBorders>
            <w:vAlign w:val="center"/>
          </w:tcPr>
          <w:p>
            <w:pPr>
              <w:spacing w:line="240" w:lineRule="auto"/>
              <w:jc w:val="center"/>
              <w:rPr>
                <w:rFonts w:ascii="楷体_GB2312" w:hAnsi="Calibri" w:eastAsia="楷体_GB2312" w:cs="Times New Roman"/>
                <w:b/>
                <w:sz w:val="21"/>
                <w:szCs w:val="21"/>
              </w:rPr>
            </w:pPr>
            <w:r>
              <w:rPr>
                <w:rFonts w:hint="eastAsia" w:ascii="楷体_GB2312" w:hAnsi="Calibri" w:eastAsia="楷体_GB2312" w:cs="Times New Roman"/>
                <w:b/>
                <w:sz w:val="21"/>
                <w:szCs w:val="21"/>
              </w:rPr>
              <w:t>本次进行投资的基金产品情况</w:t>
            </w:r>
            <w:r>
              <w:rPr>
                <w:rFonts w:hint="eastAsia" w:ascii="宋体" w:hAnsi="宋体" w:eastAsia="宋体" w:cs="Times New Roman"/>
                <w:b/>
                <w:sz w:val="21"/>
                <w:szCs w:val="21"/>
                <w:vertAlign w:val="superscript"/>
              </w:rPr>
              <w:t>②</w:t>
            </w:r>
          </w:p>
        </w:tc>
        <w:tc>
          <w:tcPr>
            <w:tcW w:w="2015" w:type="dxa"/>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基金名称</w:t>
            </w:r>
          </w:p>
        </w:tc>
        <w:tc>
          <w:tcPr>
            <w:tcW w:w="5924" w:type="dxa"/>
            <w:gridSpan w:val="9"/>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708" w:type="dxa"/>
            <w:vMerge w:val="continue"/>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2015" w:type="dxa"/>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基金编号</w:t>
            </w:r>
            <w:r>
              <w:rPr>
                <w:rFonts w:hint="eastAsia" w:ascii="宋体" w:hAnsi="宋体" w:eastAsia="宋体"/>
                <w:b/>
                <w:sz w:val="21"/>
                <w:szCs w:val="21"/>
                <w:vertAlign w:val="superscript"/>
              </w:rPr>
              <w:t>③</w:t>
            </w:r>
          </w:p>
        </w:tc>
        <w:tc>
          <w:tcPr>
            <w:tcW w:w="5924" w:type="dxa"/>
            <w:gridSpan w:val="9"/>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708" w:type="dxa"/>
            <w:vMerge w:val="continue"/>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2015" w:type="dxa"/>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基金认缴资本</w:t>
            </w:r>
          </w:p>
          <w:p>
            <w:pPr>
              <w:spacing w:line="240" w:lineRule="auto"/>
              <w:jc w:val="center"/>
              <w:rPr>
                <w:rFonts w:ascii="楷体_GB2312" w:hAnsi="Calibri" w:eastAsia="楷体_GB2312" w:cs="Times New Roman"/>
                <w:sz w:val="21"/>
                <w:szCs w:val="21"/>
              </w:rPr>
            </w:pPr>
            <w:r>
              <w:rPr>
                <w:rFonts w:hint="eastAsia" w:ascii="楷体_GB2312" w:hAnsi="黑体" w:eastAsia="楷体_GB2312" w:cs="黑体"/>
                <w:sz w:val="21"/>
                <w:szCs w:val="21"/>
              </w:rPr>
              <w:t>（万元）</w:t>
            </w:r>
          </w:p>
        </w:tc>
        <w:tc>
          <w:tcPr>
            <w:tcW w:w="5924" w:type="dxa"/>
            <w:gridSpan w:val="9"/>
            <w:tcBorders>
              <w:tl2br w:val="nil"/>
              <w:tr2bl w:val="nil"/>
            </w:tcBorders>
            <w:vAlign w:val="center"/>
          </w:tcPr>
          <w:p>
            <w:pPr>
              <w:spacing w:line="240" w:lineRule="auto"/>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2" w:hRule="atLeast"/>
        </w:trPr>
        <w:tc>
          <w:tcPr>
            <w:tcW w:w="708" w:type="dxa"/>
            <w:vMerge w:val="restart"/>
            <w:tcBorders>
              <w:tl2br w:val="nil"/>
              <w:tr2bl w:val="nil"/>
            </w:tcBorders>
            <w:textDirection w:val="tbRlV"/>
            <w:vAlign w:val="center"/>
          </w:tcPr>
          <w:p>
            <w:pPr>
              <w:spacing w:line="240" w:lineRule="auto"/>
              <w:ind w:left="113" w:right="113"/>
              <w:jc w:val="center"/>
              <w:rPr>
                <w:rFonts w:ascii="楷体_GB2312" w:hAnsi="黑体" w:eastAsia="楷体_GB2312" w:cs="黑体"/>
                <w:b/>
                <w:sz w:val="22"/>
                <w:szCs w:val="22"/>
              </w:rPr>
            </w:pPr>
            <w:r>
              <w:rPr>
                <w:rFonts w:hint="eastAsia" w:ascii="楷体_GB2312" w:hAnsi="黑体" w:eastAsia="楷体_GB2312" w:cs="黑体"/>
                <w:b/>
                <w:sz w:val="22"/>
                <w:szCs w:val="22"/>
              </w:rPr>
              <w:t>所投资企业情况</w:t>
            </w:r>
          </w:p>
        </w:tc>
        <w:tc>
          <w:tcPr>
            <w:tcW w:w="2015" w:type="dxa"/>
            <w:tcBorders>
              <w:tl2br w:val="nil"/>
              <w:tr2bl w:val="nil"/>
            </w:tcBorders>
            <w:vAlign w:val="center"/>
          </w:tcPr>
          <w:p>
            <w:pPr>
              <w:spacing w:line="240" w:lineRule="auto"/>
              <w:jc w:val="center"/>
              <w:rPr>
                <w:rFonts w:ascii="楷体_GB2312" w:hAnsi="黑体" w:eastAsia="楷体_GB2312" w:cs="黑体"/>
                <w:sz w:val="21"/>
                <w:szCs w:val="21"/>
              </w:rPr>
            </w:pPr>
            <w:r>
              <w:rPr>
                <w:rFonts w:hint="eastAsia" w:ascii="楷体_GB2312" w:hAnsi="黑体" w:eastAsia="楷体_GB2312" w:cs="黑体"/>
                <w:sz w:val="21"/>
                <w:szCs w:val="21"/>
              </w:rPr>
              <w:t>企业名称</w:t>
            </w:r>
          </w:p>
        </w:tc>
        <w:tc>
          <w:tcPr>
            <w:tcW w:w="5924" w:type="dxa"/>
            <w:gridSpan w:val="9"/>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708" w:type="dxa"/>
            <w:vMerge w:val="continue"/>
            <w:tcBorders>
              <w:tl2br w:val="nil"/>
              <w:tr2bl w:val="nil"/>
            </w:tcBorders>
            <w:textDirection w:val="tbRlV"/>
            <w:vAlign w:val="center"/>
          </w:tcPr>
          <w:p>
            <w:pPr>
              <w:spacing w:line="240" w:lineRule="auto"/>
              <w:jc w:val="center"/>
            </w:pPr>
          </w:p>
        </w:tc>
        <w:tc>
          <w:tcPr>
            <w:tcW w:w="2015" w:type="dxa"/>
            <w:tcBorders>
              <w:tl2br w:val="nil"/>
              <w:tr2bl w:val="nil"/>
            </w:tcBorders>
            <w:vAlign w:val="center"/>
          </w:tcPr>
          <w:p>
            <w:pPr>
              <w:spacing w:line="240" w:lineRule="auto"/>
              <w:jc w:val="center"/>
              <w:rPr>
                <w:rFonts w:ascii="楷体_GB2312" w:hAnsi="黑体" w:eastAsia="楷体_GB2312" w:cs="黑体"/>
                <w:sz w:val="21"/>
                <w:szCs w:val="21"/>
              </w:rPr>
            </w:pPr>
            <w:r>
              <w:rPr>
                <w:rFonts w:ascii="楷体_GB2312" w:hAnsi="黑体" w:eastAsia="楷体_GB2312" w:cs="黑体"/>
                <w:sz w:val="21"/>
                <w:szCs w:val="21"/>
              </w:rPr>
              <w:t>统一社会</w:t>
            </w:r>
            <w:bookmarkStart w:id="0" w:name="_GoBack"/>
            <w:bookmarkEnd w:id="0"/>
            <w:r>
              <w:rPr>
                <w:rFonts w:ascii="楷体_GB2312" w:hAnsi="黑体" w:eastAsia="楷体_GB2312" w:cs="黑体"/>
                <w:sz w:val="21"/>
                <w:szCs w:val="21"/>
              </w:rPr>
              <w:t>信用代码</w:t>
            </w:r>
          </w:p>
        </w:tc>
        <w:tc>
          <w:tcPr>
            <w:tcW w:w="5924" w:type="dxa"/>
            <w:gridSpan w:val="9"/>
            <w:tcBorders>
              <w:tl2br w:val="nil"/>
              <w:tr2bl w:val="nil"/>
            </w:tcBorders>
            <w:vAlign w:val="center"/>
          </w:tcPr>
          <w:p>
            <w:pPr>
              <w:spacing w:line="240" w:lineRule="auto"/>
              <w:jc w:val="center"/>
              <w:rPr>
                <w:rFonts w:ascii="楷体_GB2312" w:hAnsi="黑体" w:eastAsia="楷体_GB2312"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708" w:type="dxa"/>
            <w:vMerge w:val="continue"/>
            <w:tcBorders>
              <w:tl2br w:val="nil"/>
              <w:tr2bl w:val="nil"/>
            </w:tcBorders>
            <w:vAlign w:val="center"/>
          </w:tcPr>
          <w:p>
            <w:pPr>
              <w:spacing w:line="240" w:lineRule="auto"/>
              <w:jc w:val="center"/>
              <w:rPr>
                <w:rFonts w:ascii="楷体_GB2312" w:hAnsi="黑体" w:eastAsia="楷体_GB2312" w:cs="黑体"/>
                <w:sz w:val="21"/>
                <w:szCs w:val="21"/>
              </w:rPr>
            </w:pPr>
          </w:p>
        </w:tc>
        <w:tc>
          <w:tcPr>
            <w:tcW w:w="2015" w:type="dxa"/>
            <w:tcBorders>
              <w:tl2br w:val="nil"/>
              <w:tr2bl w:val="nil"/>
            </w:tcBorders>
            <w:vAlign w:val="center"/>
          </w:tcPr>
          <w:p>
            <w:pPr>
              <w:spacing w:line="240" w:lineRule="auto"/>
              <w:jc w:val="center"/>
              <w:rPr>
                <w:rFonts w:ascii="楷体_GB2312" w:hAnsi="黑体" w:eastAsia="楷体_GB2312" w:cs="黑体"/>
                <w:sz w:val="21"/>
                <w:szCs w:val="21"/>
              </w:rPr>
            </w:pPr>
            <w:r>
              <w:rPr>
                <w:rFonts w:hint="eastAsia" w:ascii="楷体_GB2312" w:hAnsi="黑体" w:eastAsia="楷体_GB2312" w:cs="黑体"/>
                <w:sz w:val="21"/>
                <w:szCs w:val="21"/>
              </w:rPr>
              <w:t>注册地址</w:t>
            </w:r>
          </w:p>
        </w:tc>
        <w:tc>
          <w:tcPr>
            <w:tcW w:w="2089"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555"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所属分园</w:t>
            </w:r>
          </w:p>
        </w:tc>
        <w:tc>
          <w:tcPr>
            <w:tcW w:w="2280"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3" w:hRule="atLeast"/>
        </w:trPr>
        <w:tc>
          <w:tcPr>
            <w:tcW w:w="708" w:type="dxa"/>
            <w:vMerge w:val="continue"/>
            <w:tcBorders>
              <w:tl2br w:val="nil"/>
              <w:tr2bl w:val="nil"/>
            </w:tcBorders>
            <w:vAlign w:val="center"/>
          </w:tcPr>
          <w:p>
            <w:pPr>
              <w:spacing w:line="240" w:lineRule="auto"/>
              <w:jc w:val="center"/>
              <w:rPr>
                <w:rFonts w:ascii="楷体_GB2312" w:hAnsi="黑体" w:eastAsia="楷体_GB2312" w:cs="黑体"/>
                <w:sz w:val="21"/>
                <w:szCs w:val="21"/>
              </w:rPr>
            </w:pPr>
          </w:p>
        </w:tc>
        <w:tc>
          <w:tcPr>
            <w:tcW w:w="2015" w:type="dxa"/>
            <w:tcBorders>
              <w:tl2br w:val="nil"/>
              <w:tr2bl w:val="nil"/>
            </w:tcBorders>
            <w:vAlign w:val="center"/>
          </w:tcPr>
          <w:p>
            <w:pPr>
              <w:spacing w:line="240" w:lineRule="auto"/>
              <w:jc w:val="center"/>
              <w:rPr>
                <w:rFonts w:ascii="楷体_GB2312" w:hAnsi="黑体" w:eastAsia="楷体_GB2312" w:cs="黑体"/>
                <w:sz w:val="21"/>
                <w:szCs w:val="21"/>
              </w:rPr>
            </w:pPr>
            <w:r>
              <w:rPr>
                <w:rFonts w:hint="eastAsia" w:ascii="楷体_GB2312" w:hAnsi="黑体" w:eastAsia="楷体_GB2312" w:cs="黑体"/>
                <w:sz w:val="21"/>
                <w:szCs w:val="21"/>
              </w:rPr>
              <w:t>法定代表人</w:t>
            </w:r>
          </w:p>
        </w:tc>
        <w:tc>
          <w:tcPr>
            <w:tcW w:w="2089"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555" w:type="dxa"/>
            <w:gridSpan w:val="3"/>
            <w:tcBorders>
              <w:tl2br w:val="nil"/>
              <w:tr2bl w:val="nil"/>
            </w:tcBorders>
            <w:vAlign w:val="center"/>
          </w:tcPr>
          <w:p>
            <w:pPr>
              <w:spacing w:line="240" w:lineRule="auto"/>
              <w:jc w:val="center"/>
              <w:rPr>
                <w:rFonts w:ascii="楷体_GB2312" w:hAnsi="黑体" w:eastAsia="楷体_GB2312" w:cs="黑体"/>
                <w:sz w:val="21"/>
                <w:szCs w:val="21"/>
              </w:rPr>
            </w:pPr>
            <w:r>
              <w:rPr>
                <w:rFonts w:hint="eastAsia" w:ascii="楷体_GB2312" w:hAnsi="黑体" w:eastAsia="楷体_GB2312" w:cs="黑体"/>
                <w:sz w:val="21"/>
                <w:szCs w:val="21"/>
              </w:rPr>
              <w:t>成立时间</w:t>
            </w:r>
          </w:p>
        </w:tc>
        <w:tc>
          <w:tcPr>
            <w:tcW w:w="2280"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6" w:hRule="atLeast"/>
        </w:trPr>
        <w:tc>
          <w:tcPr>
            <w:tcW w:w="708" w:type="dxa"/>
            <w:vMerge w:val="continue"/>
            <w:tcBorders>
              <w:tl2br w:val="nil"/>
              <w:tr2bl w:val="nil"/>
            </w:tcBorders>
            <w:vAlign w:val="center"/>
          </w:tcPr>
          <w:p>
            <w:pPr>
              <w:spacing w:line="240" w:lineRule="auto"/>
              <w:jc w:val="center"/>
              <w:rPr>
                <w:rFonts w:ascii="楷体_GB2312" w:hAnsi="黑体" w:eastAsia="楷体_GB2312" w:cs="黑体"/>
                <w:sz w:val="21"/>
                <w:szCs w:val="21"/>
              </w:rPr>
            </w:pPr>
          </w:p>
        </w:tc>
        <w:tc>
          <w:tcPr>
            <w:tcW w:w="2015" w:type="dxa"/>
            <w:tcBorders>
              <w:tl2br w:val="nil"/>
              <w:tr2bl w:val="nil"/>
            </w:tcBorders>
            <w:vAlign w:val="center"/>
          </w:tcPr>
          <w:p>
            <w:pPr>
              <w:spacing w:line="240" w:lineRule="auto"/>
              <w:jc w:val="center"/>
              <w:rPr>
                <w:rFonts w:ascii="楷体_GB2312" w:hAnsi="黑体" w:eastAsia="楷体_GB2312" w:cs="黑体"/>
                <w:sz w:val="21"/>
                <w:szCs w:val="21"/>
              </w:rPr>
            </w:pPr>
            <w:r>
              <w:rPr>
                <w:rFonts w:hint="eastAsia" w:ascii="楷体_GB2312" w:hAnsi="黑体" w:eastAsia="楷体_GB2312" w:cs="黑体"/>
                <w:sz w:val="21"/>
                <w:szCs w:val="21"/>
              </w:rPr>
              <w:t>注册资本（万元）</w:t>
            </w:r>
          </w:p>
        </w:tc>
        <w:tc>
          <w:tcPr>
            <w:tcW w:w="5924" w:type="dxa"/>
            <w:gridSpan w:val="9"/>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trPr>
        <w:tc>
          <w:tcPr>
            <w:tcW w:w="708" w:type="dxa"/>
            <w:vMerge w:val="continue"/>
            <w:tcBorders>
              <w:tl2br w:val="nil"/>
              <w:tr2bl w:val="nil"/>
            </w:tcBorders>
            <w:vAlign w:val="center"/>
          </w:tcPr>
          <w:p>
            <w:pPr>
              <w:spacing w:line="240" w:lineRule="auto"/>
              <w:jc w:val="center"/>
              <w:rPr>
                <w:rFonts w:ascii="楷体_GB2312" w:hAnsi="黑体" w:eastAsia="楷体_GB2312" w:cs="黑体"/>
                <w:sz w:val="21"/>
                <w:szCs w:val="21"/>
              </w:rPr>
            </w:pPr>
          </w:p>
        </w:tc>
        <w:tc>
          <w:tcPr>
            <w:tcW w:w="2015" w:type="dxa"/>
            <w:tcBorders>
              <w:tl2br w:val="nil"/>
              <w:tr2bl w:val="nil"/>
            </w:tcBorders>
            <w:vAlign w:val="center"/>
          </w:tcPr>
          <w:p>
            <w:pPr>
              <w:spacing w:line="240" w:lineRule="atLeast"/>
              <w:jc w:val="center"/>
              <w:rPr>
                <w:rFonts w:ascii="楷体_GB2312" w:hAnsi="黑体" w:eastAsia="楷体_GB2312" w:cs="黑体"/>
                <w:sz w:val="21"/>
                <w:szCs w:val="21"/>
              </w:rPr>
            </w:pPr>
            <w:r>
              <w:rPr>
                <w:rFonts w:hint="eastAsia" w:ascii="楷体_GB2312" w:hAnsi="黑体" w:eastAsia="楷体_GB2312" w:cs="黑体"/>
                <w:sz w:val="21"/>
                <w:szCs w:val="21"/>
              </w:rPr>
              <w:t>所属</w:t>
            </w:r>
            <w:r>
              <w:rPr>
                <w:rFonts w:ascii="楷体_GB2312" w:hAnsi="黑体" w:eastAsia="楷体_GB2312" w:cs="黑体"/>
                <w:sz w:val="21"/>
                <w:szCs w:val="21"/>
              </w:rPr>
              <w:t>高精尖</w:t>
            </w:r>
          </w:p>
          <w:p>
            <w:pPr>
              <w:spacing w:line="240" w:lineRule="auto"/>
              <w:jc w:val="center"/>
              <w:rPr>
                <w:rFonts w:ascii="楷体_GB2312" w:hAnsi="黑体" w:eastAsia="楷体_GB2312" w:cs="黑体"/>
                <w:sz w:val="21"/>
                <w:szCs w:val="21"/>
              </w:rPr>
            </w:pPr>
            <w:r>
              <w:rPr>
                <w:rFonts w:ascii="楷体_GB2312" w:hAnsi="黑体" w:eastAsia="楷体_GB2312" w:cs="黑体"/>
                <w:sz w:val="21"/>
                <w:szCs w:val="21"/>
              </w:rPr>
              <w:t>产业</w:t>
            </w:r>
            <w:r>
              <w:rPr>
                <w:rFonts w:hint="eastAsia" w:ascii="楷体_GB2312" w:hAnsi="黑体" w:eastAsia="楷体_GB2312" w:cs="黑体"/>
                <w:sz w:val="21"/>
                <w:szCs w:val="21"/>
              </w:rPr>
              <w:t>领域</w:t>
            </w:r>
          </w:p>
        </w:tc>
        <w:tc>
          <w:tcPr>
            <w:tcW w:w="5924" w:type="dxa"/>
            <w:gridSpan w:val="9"/>
            <w:tcBorders>
              <w:tl2br w:val="nil"/>
              <w:tr2bl w:val="nil"/>
            </w:tcBorders>
            <w:vAlign w:val="center"/>
          </w:tcPr>
          <w:p>
            <w:pPr>
              <w:spacing w:line="240" w:lineRule="auto"/>
              <w:jc w:val="left"/>
              <w:rPr>
                <w:rFonts w:ascii="楷体_GB2312" w:hAnsi="Calibri" w:eastAsia="楷体_GB2312" w:cs="Times New Roman"/>
                <w:sz w:val="21"/>
                <w:szCs w:val="21"/>
              </w:rPr>
            </w:pP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新一代信息技术</w:t>
            </w:r>
            <w:r>
              <w:rPr>
                <w:rFonts w:hint="eastAsia" w:ascii="楷体_GB2312" w:hAnsi="Calibri" w:eastAsia="楷体_GB2312" w:cs="Times New Roman"/>
                <w:sz w:val="21"/>
                <w:szCs w:val="21"/>
              </w:rPr>
              <w:t>、</w:t>
            </w: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集成电路</w:t>
            </w:r>
            <w:r>
              <w:rPr>
                <w:rFonts w:hint="eastAsia" w:ascii="楷体_GB2312" w:hAnsi="Calibri" w:eastAsia="楷体_GB2312" w:cs="Times New Roman"/>
                <w:sz w:val="21"/>
                <w:szCs w:val="21"/>
              </w:rPr>
              <w:t>、</w:t>
            </w: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医药健康</w:t>
            </w:r>
            <w:r>
              <w:rPr>
                <w:rFonts w:hint="eastAsia" w:ascii="楷体_GB2312" w:hAnsi="Calibri" w:eastAsia="楷体_GB2312" w:cs="Times New Roman"/>
                <w:sz w:val="21"/>
                <w:szCs w:val="21"/>
              </w:rPr>
              <w:t>、</w:t>
            </w: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智能装备、</w:t>
            </w: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节能环保、</w:t>
            </w: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新能源智能汽车、</w:t>
            </w: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新材料、</w:t>
            </w: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人工智能、</w:t>
            </w:r>
          </w:p>
          <w:p>
            <w:pPr>
              <w:spacing w:line="240" w:lineRule="auto"/>
              <w:jc w:val="left"/>
              <w:rPr>
                <w:rFonts w:ascii="楷体_GB2312" w:hAnsi="Calibri" w:eastAsia="楷体_GB2312" w:cs="Times New Roman"/>
                <w:sz w:val="21"/>
                <w:szCs w:val="21"/>
              </w:rPr>
            </w:pP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软件和信息服务</w:t>
            </w:r>
            <w:r>
              <w:rPr>
                <w:rFonts w:hint="eastAsia" w:ascii="楷体_GB2312" w:hAnsi="Calibri" w:eastAsia="楷体_GB2312" w:cs="Times New Roman"/>
                <w:sz w:val="21"/>
                <w:szCs w:val="21"/>
              </w:rPr>
              <w:t>、</w:t>
            </w:r>
            <w:r>
              <w:rPr>
                <w:rFonts w:hint="eastAsia" w:ascii="楷体_GB2312" w:hAnsi="Calibri" w:eastAsia="楷体_GB2312" w:cs="Times New Roman"/>
                <w:sz w:val="18"/>
                <w:szCs w:val="18"/>
              </w:rPr>
              <w:sym w:font="Wingdings 2" w:char="00A3"/>
            </w:r>
            <w:r>
              <w:rPr>
                <w:rFonts w:ascii="楷体_GB2312" w:hAnsi="Calibri" w:eastAsia="楷体_GB2312" w:cs="Times New Roman"/>
                <w:sz w:val="21"/>
                <w:szCs w:val="21"/>
              </w:rPr>
              <w:t>科技服务业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17" w:hRule="atLeast"/>
        </w:trPr>
        <w:tc>
          <w:tcPr>
            <w:tcW w:w="708" w:type="dxa"/>
            <w:vMerge w:val="continue"/>
            <w:tcBorders>
              <w:tl2br w:val="nil"/>
              <w:tr2bl w:val="nil"/>
            </w:tcBorders>
            <w:vAlign w:val="center"/>
          </w:tcPr>
          <w:p>
            <w:pPr>
              <w:spacing w:line="240" w:lineRule="auto"/>
              <w:jc w:val="center"/>
              <w:rPr>
                <w:rFonts w:ascii="楷体_GB2312" w:hAnsi="黑体" w:eastAsia="楷体_GB2312" w:cs="黑体"/>
                <w:sz w:val="21"/>
                <w:szCs w:val="21"/>
              </w:rPr>
            </w:pPr>
          </w:p>
        </w:tc>
        <w:tc>
          <w:tcPr>
            <w:tcW w:w="2015" w:type="dxa"/>
            <w:tcBorders>
              <w:tl2br w:val="nil"/>
              <w:tr2bl w:val="nil"/>
            </w:tcBorders>
            <w:vAlign w:val="center"/>
          </w:tcPr>
          <w:p>
            <w:pPr>
              <w:spacing w:line="240" w:lineRule="auto"/>
              <w:jc w:val="center"/>
              <w:rPr>
                <w:rFonts w:ascii="楷体_GB2312" w:hAnsi="黑体" w:eastAsia="楷体_GB2312" w:cs="黑体"/>
                <w:sz w:val="21"/>
                <w:szCs w:val="21"/>
              </w:rPr>
            </w:pPr>
            <w:r>
              <w:rPr>
                <w:rFonts w:hint="eastAsia" w:ascii="楷体_GB2312" w:hAnsi="黑体" w:eastAsia="楷体_GB2312" w:cs="黑体"/>
                <w:sz w:val="21"/>
                <w:szCs w:val="21"/>
              </w:rPr>
              <w:t>企业简介</w:t>
            </w:r>
          </w:p>
        </w:tc>
        <w:tc>
          <w:tcPr>
            <w:tcW w:w="5924" w:type="dxa"/>
            <w:gridSpan w:val="9"/>
            <w:tcBorders>
              <w:tl2br w:val="nil"/>
              <w:tr2bl w:val="nil"/>
            </w:tcBorders>
            <w:vAlign w:val="center"/>
          </w:tcPr>
          <w:p>
            <w:pPr>
              <w:spacing w:line="240" w:lineRule="auto"/>
              <w:jc w:val="left"/>
              <w:rPr>
                <w:rFonts w:ascii="楷体_GB2312" w:hAnsi="Calibri" w:eastAsia="楷体_GB2312" w:cs="Times New Roman"/>
                <w:sz w:val="21"/>
                <w:szCs w:val="21"/>
              </w:rPr>
            </w:pPr>
            <w:r>
              <w:rPr>
                <w:rFonts w:hint="eastAsia" w:ascii="楷体_GB2312" w:hAnsi="黑体" w:eastAsia="楷体_GB2312" w:cs="黑体"/>
                <w:sz w:val="21"/>
                <w:szCs w:val="21"/>
              </w:rPr>
              <w:t>（含主营业务、核心</w:t>
            </w:r>
            <w:r>
              <w:rPr>
                <w:rFonts w:ascii="楷体_GB2312" w:hAnsi="黑体" w:eastAsia="楷体_GB2312" w:cs="黑体"/>
                <w:sz w:val="21"/>
                <w:szCs w:val="21"/>
              </w:rPr>
              <w:t>竞争力</w:t>
            </w:r>
            <w:r>
              <w:rPr>
                <w:rFonts w:hint="eastAsia" w:ascii="楷体_GB2312" w:hAnsi="黑体" w:eastAsia="楷体_GB2312" w:cs="黑体"/>
                <w:sz w:val="21"/>
                <w:szCs w:val="21"/>
              </w:rPr>
              <w:t>、商业模式、主要产品或服务、行业地位、发展规划等，</w:t>
            </w:r>
            <w:r>
              <w:rPr>
                <w:rFonts w:ascii="楷体_GB2312" w:hAnsi="黑体" w:eastAsia="楷体_GB2312" w:cs="黑体"/>
                <w:sz w:val="21"/>
                <w:szCs w:val="21"/>
              </w:rPr>
              <w:t>400字以内）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4" w:hRule="atLeast"/>
        </w:trPr>
        <w:tc>
          <w:tcPr>
            <w:tcW w:w="708" w:type="dxa"/>
            <w:vMerge w:val="continue"/>
            <w:tcBorders>
              <w:tl2br w:val="nil"/>
              <w:tr2bl w:val="nil"/>
            </w:tcBorders>
            <w:vAlign w:val="center"/>
          </w:tcPr>
          <w:p>
            <w:pPr>
              <w:spacing w:line="240" w:lineRule="auto"/>
              <w:jc w:val="center"/>
              <w:rPr>
                <w:rFonts w:ascii="楷体_GB2312" w:hAnsi="黑体" w:eastAsia="楷体_GB2312" w:cs="黑体"/>
                <w:sz w:val="21"/>
                <w:szCs w:val="21"/>
              </w:rPr>
            </w:pPr>
          </w:p>
        </w:tc>
        <w:tc>
          <w:tcPr>
            <w:tcW w:w="2015" w:type="dxa"/>
            <w:tcBorders>
              <w:tl2br w:val="nil"/>
              <w:tr2bl w:val="nil"/>
            </w:tcBorders>
            <w:vAlign w:val="center"/>
          </w:tcPr>
          <w:p>
            <w:pPr>
              <w:spacing w:line="240" w:lineRule="auto"/>
              <w:jc w:val="left"/>
              <w:rPr>
                <w:rFonts w:ascii="楷体_GB2312" w:hAnsi="黑体" w:eastAsia="楷体_GB2312" w:cs="黑体"/>
                <w:sz w:val="21"/>
                <w:szCs w:val="21"/>
              </w:rPr>
            </w:pPr>
            <w:r>
              <w:rPr>
                <w:rFonts w:hint="eastAsia" w:ascii="楷体_GB2312" w:hAnsi="黑体" w:eastAsia="楷体_GB2312" w:cs="黑体"/>
                <w:sz w:val="21"/>
                <w:szCs w:val="21"/>
              </w:rPr>
              <w:t>投资机构实际投资额（万元）、投后股权占比</w:t>
            </w:r>
          </w:p>
        </w:tc>
        <w:tc>
          <w:tcPr>
            <w:tcW w:w="2231" w:type="dxa"/>
            <w:gridSpan w:val="4"/>
            <w:tcBorders>
              <w:tl2br w:val="nil"/>
              <w:tr2bl w:val="nil"/>
            </w:tcBorders>
            <w:vAlign w:val="center"/>
          </w:tcPr>
          <w:p>
            <w:pPr>
              <w:spacing w:line="240" w:lineRule="auto"/>
              <w:jc w:val="center"/>
              <w:rPr>
                <w:rFonts w:ascii="楷体_GB2312" w:hAnsi="Calibri" w:eastAsia="楷体_GB2312" w:cs="Times New Roman"/>
                <w:sz w:val="21"/>
                <w:szCs w:val="21"/>
              </w:rPr>
            </w:pPr>
          </w:p>
        </w:tc>
        <w:tc>
          <w:tcPr>
            <w:tcW w:w="1560" w:type="dxa"/>
            <w:gridSpan w:val="3"/>
            <w:tcBorders>
              <w:tl2br w:val="nil"/>
              <w:tr2bl w:val="nil"/>
            </w:tcBorders>
            <w:vAlign w:val="center"/>
          </w:tcPr>
          <w:p>
            <w:pPr>
              <w:spacing w:line="240" w:lineRule="auto"/>
              <w:jc w:val="center"/>
              <w:rPr>
                <w:rFonts w:ascii="楷体_GB2312" w:hAnsi="Calibri" w:eastAsia="楷体_GB2312" w:cs="Times New Roman"/>
                <w:sz w:val="21"/>
                <w:szCs w:val="21"/>
              </w:rPr>
            </w:pPr>
            <w:r>
              <w:rPr>
                <w:rFonts w:hint="eastAsia" w:ascii="楷体_GB2312" w:hAnsi="Calibri" w:eastAsia="楷体_GB2312" w:cs="Times New Roman"/>
                <w:sz w:val="21"/>
                <w:szCs w:val="21"/>
              </w:rPr>
              <w:t>投资协议签订时间</w:t>
            </w:r>
          </w:p>
        </w:tc>
        <w:tc>
          <w:tcPr>
            <w:tcW w:w="2133" w:type="dxa"/>
            <w:gridSpan w:val="2"/>
            <w:tcBorders>
              <w:tl2br w:val="nil"/>
              <w:tr2bl w:val="nil"/>
            </w:tcBorders>
            <w:vAlign w:val="center"/>
          </w:tcPr>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4" w:hRule="atLeast"/>
        </w:trPr>
        <w:tc>
          <w:tcPr>
            <w:tcW w:w="708" w:type="dxa"/>
            <w:vMerge w:val="continue"/>
            <w:tcBorders>
              <w:tl2br w:val="nil"/>
              <w:tr2bl w:val="nil"/>
            </w:tcBorders>
            <w:vAlign w:val="center"/>
          </w:tcPr>
          <w:p>
            <w:pPr>
              <w:spacing w:line="240" w:lineRule="auto"/>
              <w:jc w:val="center"/>
              <w:rPr>
                <w:rFonts w:ascii="楷体_GB2312" w:hAnsi="黑体" w:eastAsia="楷体_GB2312" w:cs="黑体"/>
                <w:sz w:val="21"/>
                <w:szCs w:val="21"/>
              </w:rPr>
            </w:pPr>
          </w:p>
        </w:tc>
        <w:tc>
          <w:tcPr>
            <w:tcW w:w="2015" w:type="dxa"/>
            <w:tcBorders>
              <w:tl2br w:val="nil"/>
              <w:tr2bl w:val="nil"/>
            </w:tcBorders>
            <w:vAlign w:val="center"/>
          </w:tcPr>
          <w:p>
            <w:pPr>
              <w:spacing w:line="240" w:lineRule="auto"/>
              <w:jc w:val="center"/>
              <w:rPr>
                <w:rFonts w:ascii="楷体_GB2312" w:hAnsi="黑体" w:eastAsia="楷体_GB2312" w:cs="黑体"/>
                <w:sz w:val="21"/>
                <w:szCs w:val="21"/>
              </w:rPr>
            </w:pPr>
            <w:r>
              <w:rPr>
                <w:rFonts w:hint="eastAsia" w:ascii="楷体_GB2312" w:hAnsi="黑体" w:eastAsia="楷体_GB2312" w:cs="黑体"/>
                <w:sz w:val="21"/>
                <w:szCs w:val="21"/>
              </w:rPr>
              <w:t>本次融资后完成工商变更时间</w:t>
            </w:r>
          </w:p>
        </w:tc>
        <w:tc>
          <w:tcPr>
            <w:tcW w:w="5924" w:type="dxa"/>
            <w:gridSpan w:val="9"/>
            <w:tcBorders>
              <w:tl2br w:val="nil"/>
              <w:tr2bl w:val="nil"/>
            </w:tcBorders>
            <w:vAlign w:val="center"/>
          </w:tcPr>
          <w:p>
            <w:pPr>
              <w:spacing w:line="240" w:lineRule="auto"/>
              <w:jc w:val="center"/>
              <w:rPr>
                <w:rFonts w:ascii="楷体_GB2312" w:hAnsi="Calibri" w:eastAsia="楷体_GB2312" w:cs="Times New Roman"/>
                <w:sz w:val="21"/>
                <w:szCs w:val="21"/>
              </w:rPr>
            </w:pPr>
          </w:p>
          <w:p>
            <w:pPr>
              <w:spacing w:line="240" w:lineRule="auto"/>
              <w:jc w:val="center"/>
              <w:rPr>
                <w:rFonts w:ascii="楷体_GB2312" w:hAnsi="Calibri" w:eastAsia="楷体_GB2312"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708" w:type="dxa"/>
            <w:tcBorders>
              <w:tl2br w:val="nil"/>
              <w:tr2bl w:val="nil"/>
            </w:tcBorders>
            <w:textDirection w:val="tbRlV"/>
            <w:vAlign w:val="center"/>
          </w:tcPr>
          <w:p>
            <w:pPr>
              <w:spacing w:line="240" w:lineRule="auto"/>
              <w:ind w:left="113" w:right="113"/>
              <w:jc w:val="center"/>
              <w:rPr>
                <w:rFonts w:ascii="楷体_GB2312" w:hAnsi="黑体" w:eastAsia="楷体_GB2312" w:cs="黑体"/>
                <w:b/>
                <w:sz w:val="24"/>
                <w:szCs w:val="24"/>
              </w:rPr>
            </w:pPr>
            <w:r>
              <w:rPr>
                <w:rFonts w:hint="eastAsia" w:ascii="楷体_GB2312" w:hAnsi="黑体" w:eastAsia="楷体_GB2312" w:cs="黑体"/>
                <w:b/>
                <w:sz w:val="24"/>
                <w:szCs w:val="24"/>
              </w:rPr>
              <w:t>申请企业承诺</w:t>
            </w:r>
          </w:p>
        </w:tc>
        <w:tc>
          <w:tcPr>
            <w:tcW w:w="7939" w:type="dxa"/>
            <w:gridSpan w:val="10"/>
            <w:tcBorders>
              <w:tl2br w:val="nil"/>
              <w:tr2bl w:val="nil"/>
            </w:tcBorders>
            <w:vAlign w:val="center"/>
          </w:tcPr>
          <w:p>
            <w:pPr>
              <w:spacing w:line="240" w:lineRule="auto"/>
              <w:ind w:firstLine="420" w:firstLineChars="200"/>
              <w:jc w:val="left"/>
              <w:rPr>
                <w:rFonts w:ascii="楷体_GB2312" w:hAnsi="Calibri" w:eastAsia="楷体_GB2312" w:cs="Times New Roman"/>
                <w:sz w:val="21"/>
                <w:szCs w:val="21"/>
              </w:rPr>
            </w:pPr>
            <w:r>
              <w:rPr>
                <w:rFonts w:hint="eastAsia" w:ascii="楷体_GB2312" w:hAnsi="Calibri" w:eastAsia="楷体_GB2312" w:cs="Times New Roman"/>
                <w:sz w:val="21"/>
                <w:szCs w:val="21"/>
              </w:rPr>
              <w:t>本单位承诺：本申请表中所填报内容和所提交材料均真实、合法、有效，并对此承担一切法律责任。</w:t>
            </w:r>
          </w:p>
          <w:p>
            <w:pPr>
              <w:spacing w:line="240" w:lineRule="auto"/>
              <w:ind w:firstLine="2158" w:firstLineChars="1028"/>
              <w:jc w:val="center"/>
              <w:rPr>
                <w:rFonts w:ascii="楷体_GB2312" w:hAnsi="Calibri" w:eastAsia="楷体_GB2312" w:cs="Times New Roman"/>
                <w:sz w:val="21"/>
                <w:szCs w:val="21"/>
              </w:rPr>
            </w:pPr>
          </w:p>
          <w:p>
            <w:pPr>
              <w:spacing w:line="240" w:lineRule="auto"/>
              <w:ind w:firstLine="2158" w:firstLineChars="1028"/>
              <w:jc w:val="center"/>
              <w:rPr>
                <w:rFonts w:ascii="楷体_GB2312" w:hAnsi="Calibri" w:eastAsia="楷体_GB2312" w:cs="Times New Roman"/>
                <w:sz w:val="21"/>
                <w:szCs w:val="21"/>
              </w:rPr>
            </w:pPr>
            <w:r>
              <w:rPr>
                <w:rFonts w:hint="eastAsia" w:ascii="楷体_GB2312" w:hAnsi="Calibri" w:eastAsia="楷体_GB2312" w:cs="Times New Roman"/>
                <w:sz w:val="21"/>
                <w:szCs w:val="21"/>
              </w:rPr>
              <w:t>单位（公章）</w:t>
            </w:r>
          </w:p>
          <w:p>
            <w:pPr>
              <w:spacing w:line="240" w:lineRule="auto"/>
              <w:ind w:firstLine="2158" w:firstLineChars="1028"/>
              <w:jc w:val="center"/>
              <w:rPr>
                <w:rFonts w:ascii="楷体_GB2312" w:hAnsi="Calibri" w:eastAsia="楷体_GB2312" w:cs="Times New Roman"/>
                <w:sz w:val="21"/>
                <w:szCs w:val="21"/>
              </w:rPr>
            </w:pPr>
            <w:r>
              <w:rPr>
                <w:rFonts w:hint="eastAsia" w:ascii="楷体_GB2312" w:hAnsi="Calibri" w:eastAsia="楷体_GB2312" w:cs="Times New Roman"/>
                <w:sz w:val="21"/>
                <w:szCs w:val="21"/>
              </w:rPr>
              <w:t>法定代表人（签字）：</w:t>
            </w:r>
          </w:p>
          <w:p>
            <w:pPr>
              <w:spacing w:line="240" w:lineRule="auto"/>
              <w:ind w:firstLine="3150" w:firstLineChars="1500"/>
              <w:jc w:val="right"/>
              <w:rPr>
                <w:rFonts w:ascii="楷体_GB2312" w:hAnsi="Calibri" w:eastAsia="楷体_GB2312" w:cs="Times New Roman"/>
                <w:sz w:val="21"/>
                <w:szCs w:val="21"/>
              </w:rPr>
            </w:pPr>
            <w:r>
              <w:rPr>
                <w:rFonts w:hint="eastAsia" w:ascii="楷体_GB2312" w:hAnsi="Calibri" w:eastAsia="楷体_GB2312" w:cs="Times New Roman"/>
                <w:sz w:val="21"/>
                <w:szCs w:val="21"/>
              </w:rPr>
              <w:t>年    月    日</w:t>
            </w:r>
          </w:p>
        </w:tc>
      </w:tr>
    </w:tbl>
    <w:p>
      <w:pPr>
        <w:spacing w:line="320" w:lineRule="exact"/>
        <w:ind w:firstLine="480" w:firstLineChars="200"/>
        <w:rPr>
          <w:rFonts w:ascii="楷体_GB2312" w:hAnsi="Calibri" w:eastAsia="楷体_GB2312"/>
          <w:sz w:val="24"/>
          <w:szCs w:val="24"/>
        </w:rPr>
      </w:pPr>
      <w:r>
        <w:rPr>
          <w:rFonts w:hint="eastAsia" w:ascii="楷体_GB2312" w:hAnsi="Calibri" w:eastAsia="楷体_GB2312"/>
          <w:sz w:val="24"/>
          <w:szCs w:val="24"/>
        </w:rPr>
        <w:t>备注：</w:t>
      </w:r>
    </w:p>
    <w:p>
      <w:pPr>
        <w:spacing w:line="320" w:lineRule="exact"/>
        <w:ind w:firstLine="480" w:firstLineChars="200"/>
        <w:rPr>
          <w:rFonts w:ascii="楷体_GB2312" w:hAnsi="Calibri" w:eastAsia="楷体_GB2312"/>
          <w:sz w:val="24"/>
          <w:szCs w:val="24"/>
        </w:rPr>
      </w:pPr>
      <w:r>
        <w:rPr>
          <w:rFonts w:hint="eastAsia" w:ascii="楷体_GB2312" w:hAnsi="Calibri" w:eastAsia="楷体_GB2312"/>
          <w:sz w:val="24"/>
          <w:szCs w:val="24"/>
        </w:rPr>
        <w:t>1.登记编号为基金管理人在中国证券投资基金业协会的登记编号。</w:t>
      </w:r>
    </w:p>
    <w:p>
      <w:pPr>
        <w:spacing w:line="320" w:lineRule="exact"/>
        <w:ind w:firstLine="480" w:firstLineChars="200"/>
        <w:rPr>
          <w:rFonts w:ascii="楷体_GB2312" w:hAnsi="Calibri" w:eastAsia="楷体_GB2312"/>
          <w:sz w:val="24"/>
          <w:szCs w:val="24"/>
        </w:rPr>
      </w:pPr>
      <w:r>
        <w:rPr>
          <w:rFonts w:hint="eastAsia" w:ascii="楷体_GB2312" w:hAnsi="Calibri" w:eastAsia="楷体_GB2312"/>
          <w:sz w:val="24"/>
          <w:szCs w:val="24"/>
        </w:rPr>
        <w:t>2.以受托管理资金投资的机构填写该部分。</w:t>
      </w:r>
    </w:p>
    <w:p>
      <w:pPr>
        <w:spacing w:line="320" w:lineRule="exact"/>
        <w:ind w:firstLine="480" w:firstLineChars="200"/>
        <w:rPr>
          <w:rFonts w:ascii="楷体_GB2312" w:hAnsi="Calibri" w:eastAsia="楷体_GB2312"/>
          <w:sz w:val="24"/>
          <w:szCs w:val="24"/>
        </w:rPr>
      </w:pPr>
      <w:r>
        <w:rPr>
          <w:rFonts w:hint="eastAsia" w:ascii="楷体_GB2312" w:hAnsi="Calibri" w:eastAsia="楷体_GB2312"/>
          <w:sz w:val="24"/>
          <w:szCs w:val="24"/>
        </w:rPr>
        <w:t>3.基金编号为</w:t>
      </w:r>
      <w:r>
        <w:rPr>
          <w:rFonts w:ascii="楷体_GB2312" w:hAnsi="Calibri" w:eastAsia="楷体_GB2312"/>
          <w:sz w:val="24"/>
          <w:szCs w:val="24"/>
        </w:rPr>
        <w:t>投资企业所对应的</w:t>
      </w:r>
      <w:r>
        <w:rPr>
          <w:rFonts w:hint="eastAsia" w:ascii="楷体_GB2312" w:hAnsi="Calibri" w:eastAsia="楷体_GB2312"/>
          <w:sz w:val="24"/>
          <w:szCs w:val="24"/>
        </w:rPr>
        <w:t>基金产品在中国证券投资基金业协会备案</w:t>
      </w:r>
    </w:p>
    <w:p>
      <w:pPr>
        <w:spacing w:line="320" w:lineRule="exact"/>
        <w:ind w:firstLine="480" w:firstLineChars="200"/>
        <w:rPr>
          <w:rFonts w:ascii="楷体_GB2312" w:hAnsi="Calibri" w:eastAsia="楷体_GB2312"/>
          <w:sz w:val="24"/>
          <w:szCs w:val="24"/>
        </w:rPr>
      </w:pPr>
      <w:r>
        <w:rPr>
          <w:rFonts w:hint="eastAsia" w:ascii="楷体_GB2312" w:hAnsi="Calibri" w:eastAsia="楷体_GB2312"/>
          <w:sz w:val="24"/>
          <w:szCs w:val="24"/>
        </w:rPr>
        <w:t>的编号。</w:t>
      </w:r>
    </w:p>
    <w:p>
      <w:pPr>
        <w:rPr>
          <w:rFonts w:ascii="楷体_GB2312" w:hAnsi="Calibri" w:eastAsia="楷体_GB2312"/>
          <w:sz w:val="24"/>
          <w:szCs w:val="24"/>
        </w:rPr>
      </w:pPr>
    </w:p>
    <w:p>
      <w:pPr>
        <w:rPr>
          <w:rFonts w:ascii="楷体_GB2312" w:hAnsi="Calibri" w:eastAsia="楷体_GB2312"/>
          <w:sz w:val="24"/>
          <w:szCs w:val="24"/>
        </w:rPr>
      </w:pPr>
    </w:p>
    <w:p>
      <w:pPr>
        <w:rPr>
          <w:rFonts w:ascii="楷体_GB2312" w:hAnsi="Calibri" w:eastAsia="楷体_GB2312"/>
          <w:sz w:val="24"/>
          <w:szCs w:val="24"/>
        </w:rPr>
      </w:pPr>
    </w:p>
    <w:p>
      <w:pPr>
        <w:rPr>
          <w:rFonts w:ascii="楷体_GB2312" w:hAnsi="Calibri" w:eastAsia="楷体_GB2312"/>
          <w:sz w:val="24"/>
          <w:szCs w:val="24"/>
        </w:rPr>
      </w:pPr>
    </w:p>
    <w:p>
      <w:pPr>
        <w:rPr>
          <w:rFonts w:ascii="楷体_GB2312" w:hAnsi="Calibri" w:eastAsia="楷体_GB2312"/>
          <w:sz w:val="24"/>
          <w:szCs w:val="24"/>
        </w:rPr>
      </w:pPr>
    </w:p>
    <w:p>
      <w:pPr>
        <w:rPr>
          <w:rFonts w:ascii="楷体_GB2312" w:hAnsi="Calibri" w:eastAsia="楷体_GB2312"/>
          <w:sz w:val="24"/>
          <w:szCs w:val="24"/>
        </w:rPr>
      </w:pPr>
    </w:p>
    <w:p>
      <w:pPr>
        <w:rPr>
          <w:rFonts w:ascii="楷体_GB2312" w:hAnsi="Calibri" w:eastAsia="楷体_GB2312"/>
          <w:sz w:val="24"/>
          <w:szCs w:val="24"/>
        </w:rPr>
      </w:pPr>
    </w:p>
    <w:p>
      <w:pPr>
        <w:rPr>
          <w:rFonts w:ascii="楷体_GB2312" w:hAnsi="Calibri" w:eastAsia="楷体_GB2312"/>
          <w:sz w:val="24"/>
          <w:szCs w:val="24"/>
        </w:rPr>
      </w:pPr>
    </w:p>
    <w:p>
      <w:pPr>
        <w:rPr>
          <w:rFonts w:ascii="楷体_GB2312" w:hAnsi="Calibri" w:eastAsia="楷体_GB2312"/>
          <w:sz w:val="24"/>
          <w:szCs w:val="24"/>
        </w:rPr>
      </w:pPr>
    </w:p>
    <w:p>
      <w:pPr>
        <w:rPr>
          <w:rFonts w:ascii="楷体_GB2312" w:hAnsi="Calibri" w:eastAsia="楷体_GB2312"/>
          <w:sz w:val="24"/>
          <w:szCs w:val="24"/>
        </w:rPr>
      </w:pPr>
    </w:p>
    <w:p>
      <w:pPr>
        <w:widowControl/>
        <w:suppressAutoHyphens w:val="0"/>
        <w:spacing w:line="240" w:lineRule="auto"/>
        <w:jc w:val="left"/>
        <w:rPr>
          <w:rFonts w:ascii="方正小标宋_GBK" w:eastAsia="方正小标宋_GBK"/>
          <w:sz w:val="44"/>
          <w:szCs w:val="44"/>
        </w:rPr>
      </w:pPr>
    </w:p>
    <w:p>
      <w:pPr>
        <w:widowControl/>
        <w:suppressAutoHyphens w:val="0"/>
        <w:spacing w:line="240" w:lineRule="auto"/>
        <w:jc w:val="left"/>
        <w:rPr>
          <w:rFonts w:ascii="方正小标宋_GBK" w:eastAsia="方正小标宋_GBK"/>
          <w:sz w:val="44"/>
          <w:szCs w:val="44"/>
        </w:rPr>
      </w:pPr>
    </w:p>
    <w:p>
      <w:pPr>
        <w:widowControl/>
        <w:suppressAutoHyphens w:val="0"/>
        <w:spacing w:line="600" w:lineRule="exact"/>
        <w:jc w:val="center"/>
        <w:rPr>
          <w:rFonts w:ascii="方正小标宋_GBK" w:eastAsia="方正小标宋_GBK"/>
          <w:sz w:val="44"/>
          <w:szCs w:val="44"/>
        </w:rPr>
      </w:pPr>
    </w:p>
    <w:p>
      <w:pPr>
        <w:widowControl/>
        <w:suppressAutoHyphens w:val="0"/>
        <w:spacing w:line="600" w:lineRule="exact"/>
        <w:jc w:val="center"/>
        <w:rPr>
          <w:rFonts w:ascii="方正小标宋_GBK" w:eastAsia="方正小标宋_GBK"/>
          <w:sz w:val="44"/>
          <w:szCs w:val="44"/>
        </w:rPr>
      </w:pPr>
      <w:r>
        <w:rPr>
          <w:rFonts w:hint="eastAsia" w:ascii="方正小标宋_GBK" w:eastAsia="方正小标宋_GBK"/>
          <w:sz w:val="44"/>
          <w:szCs w:val="44"/>
        </w:rPr>
        <w:t>关于长期持有所投企业股权的承诺函</w:t>
      </w:r>
    </w:p>
    <w:p>
      <w:pPr>
        <w:widowControl/>
        <w:suppressAutoHyphens w:val="0"/>
        <w:spacing w:line="600" w:lineRule="exact"/>
        <w:jc w:val="center"/>
        <w:rPr>
          <w:rFonts w:ascii="楷体_GB2312" w:eastAsia="楷体_GB2312"/>
        </w:rPr>
      </w:pPr>
      <w:r>
        <w:rPr>
          <w:rFonts w:hint="eastAsia" w:ascii="楷体_GB2312" w:eastAsia="楷体_GB2312"/>
        </w:rPr>
        <w:t>（模板）</w:t>
      </w:r>
    </w:p>
    <w:p>
      <w:pPr>
        <w:rPr>
          <w:rFonts w:hAnsi="仿宋"/>
        </w:rPr>
      </w:pPr>
    </w:p>
    <w:p>
      <w:pPr>
        <w:rPr>
          <w:rFonts w:hAnsi="仿宋"/>
        </w:rPr>
      </w:pPr>
      <w:r>
        <w:rPr>
          <w:rFonts w:hint="eastAsia" w:hAnsi="仿宋"/>
        </w:rPr>
        <w:t>市科委、中关村管委会：</w:t>
      </w:r>
    </w:p>
    <w:p>
      <w:pPr>
        <w:ind w:firstLine="707" w:firstLineChars="221"/>
      </w:pPr>
      <w:r>
        <w:rPr>
          <w:rFonts w:hint="eastAsia" w:hAnsi="仿宋"/>
        </w:rPr>
        <w:t>本机构</w:t>
      </w:r>
      <w:r>
        <w:rPr>
          <w:rFonts w:hint="eastAsia"/>
        </w:rPr>
        <w:t>承诺将持有</w:t>
      </w:r>
      <w:r>
        <w:rPr>
          <w:rFonts w:hint="eastAsia" w:hAnsi="仿宋"/>
          <w:u w:val="single"/>
        </w:rPr>
        <w:t>（所投企业全称）</w:t>
      </w:r>
      <w:r>
        <w:rPr>
          <w:rFonts w:hint="eastAsia"/>
        </w:rPr>
        <w:t>股权时间超过5年。</w:t>
      </w:r>
    </w:p>
    <w:p>
      <w:pPr>
        <w:ind w:firstLine="707" w:firstLineChars="221"/>
        <w:jc w:val="left"/>
      </w:pPr>
      <w:r>
        <w:rPr>
          <w:rFonts w:hint="eastAsia" w:hAnsi="仿宋"/>
        </w:rPr>
        <w:t>特此函至。</w:t>
      </w:r>
    </w:p>
    <w:p>
      <w:pPr>
        <w:ind w:firstLine="1280" w:firstLineChars="400"/>
        <w:jc w:val="center"/>
        <w:rPr>
          <w:rFonts w:hAnsi="仿宋"/>
        </w:rPr>
      </w:pPr>
    </w:p>
    <w:p>
      <w:pPr>
        <w:ind w:firstLine="1280" w:firstLineChars="400"/>
        <w:jc w:val="center"/>
        <w:rPr>
          <w:rFonts w:hAnsi="仿宋"/>
        </w:rPr>
      </w:pPr>
    </w:p>
    <w:p>
      <w:pPr>
        <w:ind w:firstLine="1280" w:firstLineChars="400"/>
        <w:jc w:val="center"/>
        <w:rPr>
          <w:rFonts w:hAnsi="仿宋"/>
        </w:rPr>
      </w:pPr>
      <w:r>
        <w:rPr>
          <w:rFonts w:hint="eastAsia" w:hAnsi="仿宋"/>
        </w:rPr>
        <w:t>单位（公章）</w:t>
      </w:r>
    </w:p>
    <w:p>
      <w:pPr>
        <w:ind w:firstLine="1280" w:firstLineChars="400"/>
        <w:jc w:val="center"/>
        <w:rPr>
          <w:rFonts w:hAnsi="仿宋"/>
        </w:rPr>
      </w:pPr>
      <w:r>
        <w:rPr>
          <w:rFonts w:hint="eastAsia" w:hAnsi="仿宋"/>
        </w:rPr>
        <w:t>法定代表人（签字）：</w:t>
      </w:r>
    </w:p>
    <w:p>
      <w:pPr>
        <w:widowControl/>
        <w:suppressAutoHyphens w:val="0"/>
        <w:ind w:firstLine="640" w:firstLineChars="200"/>
        <w:jc w:val="right"/>
        <w:rPr>
          <w:rFonts w:hAnsi="仿宋"/>
        </w:rPr>
      </w:pPr>
      <w:r>
        <w:rPr>
          <w:rFonts w:hint="eastAsia" w:hAnsi="仿宋"/>
        </w:rPr>
        <w:t>年    月    日</w:t>
      </w:r>
    </w:p>
    <w:p>
      <w:pPr>
        <w:pStyle w:val="4"/>
        <w:ind w:firstLine="640"/>
      </w:pPr>
    </w:p>
    <w:p>
      <w:pPr>
        <w:rPr>
          <w:rFonts w:ascii="楷体_GB2312" w:hAnsi="Calibri" w:eastAsia="楷体_GB2312"/>
          <w:sz w:val="24"/>
          <w:szCs w:val="24"/>
        </w:rPr>
      </w:pPr>
    </w:p>
    <w:sectPr>
      <w:pgSz w:w="11900" w:h="16840"/>
      <w:pgMar w:top="1440" w:right="1878" w:bottom="1440" w:left="1800" w:header="851" w:footer="992" w:gutter="0"/>
      <w:cols w:space="425" w:num="1"/>
      <w:docGrid w:type="lines" w:linePitch="423"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D886DB7-1C7C-4CC9-9B2D-53C3C3E419E8}"/>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16C2F636-ED4F-44E6-A5B8-6359A6487B13}"/>
  </w:font>
  <w:font w:name="Calibri Light">
    <w:panose1 w:val="020F03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华文楷体">
    <w:altName w:val="宋体"/>
    <w:panose1 w:val="02010600040101010101"/>
    <w:charset w:val="86"/>
    <w:family w:val="auto"/>
    <w:pitch w:val="default"/>
    <w:sig w:usb0="00000000" w:usb1="00000000" w:usb2="00000016" w:usb3="00000000" w:csb0="0004001F" w:csb1="00000000"/>
    <w:embedRegular r:id="rId3" w:fontKey="{37694199-105B-4E97-9000-E34C6DD240C6}"/>
  </w:font>
  <w:font w:name="方正小标宋_GBK">
    <w:panose1 w:val="02000000000000000000"/>
    <w:charset w:val="86"/>
    <w:family w:val="script"/>
    <w:pitch w:val="default"/>
    <w:sig w:usb0="A00002BF" w:usb1="38CF7CFA" w:usb2="00082016" w:usb3="00000000" w:csb0="00040001" w:csb1="00000000"/>
    <w:embedRegular r:id="rId4" w:fontKey="{524B3195-4854-4BA5-9350-AC7A3F0FB305}"/>
  </w:font>
  <w:font w:name="楷体_GB2312">
    <w:altName w:val="楷体"/>
    <w:panose1 w:val="020B0604020202020204"/>
    <w:charset w:val="86"/>
    <w:family w:val="modern"/>
    <w:pitch w:val="default"/>
    <w:sig w:usb0="00000000" w:usb1="00000000" w:usb2="00000010" w:usb3="00000000" w:csb0="00040001" w:csb1="00000000"/>
    <w:embedRegular r:id="rId5" w:fontKey="{ED7D398F-B48D-4C01-8E11-6A02D0F8EABE}"/>
  </w:font>
  <w:font w:name="微软雅黑">
    <w:panose1 w:val="020B0503020204020204"/>
    <w:charset w:val="86"/>
    <w:family w:val="swiss"/>
    <w:pitch w:val="default"/>
    <w:sig w:usb0="80000287" w:usb1="2ACF3C50" w:usb2="00000016" w:usb3="00000000" w:csb0="0004001F" w:csb1="00000000"/>
    <w:embedRegular r:id="rId6" w:fontKey="{7DD780C6-9B7C-4244-A3DA-8C48A5482678}"/>
  </w:font>
  <w:font w:name="仿宋">
    <w:panose1 w:val="02010609060101010101"/>
    <w:charset w:val="86"/>
    <w:family w:val="modern"/>
    <w:pitch w:val="default"/>
    <w:sig w:usb0="800002BF" w:usb1="38CF7CFA" w:usb2="00000016" w:usb3="00000000" w:csb0="00040001" w:csb1="00000000"/>
    <w:embedRegular r:id="rId7" w:fontKey="{881ACBE1-72E5-43EC-8CC1-EB3EAA5BBBBA}"/>
  </w:font>
  <w:font w:name="Wingdings 2">
    <w:altName w:val="Wingdings"/>
    <w:panose1 w:val="05020102010507070707"/>
    <w:charset w:val="00"/>
    <w:family w:val="decorative"/>
    <w:pitch w:val="default"/>
    <w:sig w:usb0="00000000" w:usb1="00000000" w:usb2="00000000" w:usb3="00000000" w:csb0="80000001" w:csb1="00000000"/>
    <w:embedRegular r:id="rId8" w:fontKey="{AB582719-3C3E-4B73-B694-7E2297717286}"/>
  </w:font>
  <w:font w:name="Wingdings">
    <w:panose1 w:val="05000000000000000000"/>
    <w:charset w:val="00"/>
    <w:family w:val="auto"/>
    <w:pitch w:val="default"/>
    <w:sig w:usb0="00000000" w:usb1="00000000" w:usb2="00000000" w:usb3="00000000" w:csb0="80000000"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200"/>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2EzMjNhYmEzY2U3YjA0MmMwZmM0NzM3ZjdlNTFlYWEifQ=="/>
  </w:docVars>
  <w:rsids>
    <w:rsidRoot w:val="00571FE1"/>
    <w:rsid w:val="00003588"/>
    <w:rsid w:val="0002157B"/>
    <w:rsid w:val="000376EE"/>
    <w:rsid w:val="00053759"/>
    <w:rsid w:val="000B1A11"/>
    <w:rsid w:val="000B448A"/>
    <w:rsid w:val="00170446"/>
    <w:rsid w:val="00194691"/>
    <w:rsid w:val="00196DF3"/>
    <w:rsid w:val="001F200C"/>
    <w:rsid w:val="001F6279"/>
    <w:rsid w:val="00200DE7"/>
    <w:rsid w:val="00232529"/>
    <w:rsid w:val="00241C9A"/>
    <w:rsid w:val="00291FC0"/>
    <w:rsid w:val="003663F0"/>
    <w:rsid w:val="0039648E"/>
    <w:rsid w:val="003D6125"/>
    <w:rsid w:val="003E0729"/>
    <w:rsid w:val="00436A4E"/>
    <w:rsid w:val="00455EE4"/>
    <w:rsid w:val="004F0637"/>
    <w:rsid w:val="00547A59"/>
    <w:rsid w:val="00563700"/>
    <w:rsid w:val="00564186"/>
    <w:rsid w:val="00571641"/>
    <w:rsid w:val="00571FE1"/>
    <w:rsid w:val="005A23E3"/>
    <w:rsid w:val="005E5A71"/>
    <w:rsid w:val="00605960"/>
    <w:rsid w:val="00613B32"/>
    <w:rsid w:val="00684CB8"/>
    <w:rsid w:val="00686553"/>
    <w:rsid w:val="00696C7D"/>
    <w:rsid w:val="006A4CC9"/>
    <w:rsid w:val="006E34A5"/>
    <w:rsid w:val="006F5EC9"/>
    <w:rsid w:val="007067D1"/>
    <w:rsid w:val="0070732E"/>
    <w:rsid w:val="007261A1"/>
    <w:rsid w:val="007403D9"/>
    <w:rsid w:val="00776F01"/>
    <w:rsid w:val="00785F48"/>
    <w:rsid w:val="0078612E"/>
    <w:rsid w:val="00787527"/>
    <w:rsid w:val="007C2ADA"/>
    <w:rsid w:val="009439B1"/>
    <w:rsid w:val="009861F1"/>
    <w:rsid w:val="00994854"/>
    <w:rsid w:val="009A6FBD"/>
    <w:rsid w:val="00A41FD3"/>
    <w:rsid w:val="00A43595"/>
    <w:rsid w:val="00AB29CE"/>
    <w:rsid w:val="00AC58B6"/>
    <w:rsid w:val="00B16049"/>
    <w:rsid w:val="00BA6499"/>
    <w:rsid w:val="00BC4F01"/>
    <w:rsid w:val="00C603AE"/>
    <w:rsid w:val="00C77E78"/>
    <w:rsid w:val="00C91CBD"/>
    <w:rsid w:val="00D003A6"/>
    <w:rsid w:val="00D1178D"/>
    <w:rsid w:val="00D53F09"/>
    <w:rsid w:val="00D54CD6"/>
    <w:rsid w:val="00D64DE8"/>
    <w:rsid w:val="00D663D1"/>
    <w:rsid w:val="00D77E46"/>
    <w:rsid w:val="00DA07F0"/>
    <w:rsid w:val="00E42C50"/>
    <w:rsid w:val="00E63FDB"/>
    <w:rsid w:val="00E80FF4"/>
    <w:rsid w:val="00EB5660"/>
    <w:rsid w:val="00EE418B"/>
    <w:rsid w:val="00EE4992"/>
    <w:rsid w:val="00F12769"/>
    <w:rsid w:val="00F4706B"/>
    <w:rsid w:val="00F50C8B"/>
    <w:rsid w:val="00F61DDD"/>
    <w:rsid w:val="00F73D7C"/>
    <w:rsid w:val="5BED57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14:defaultImageDpi w14:val="32767"/>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华文楷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uppressAutoHyphens/>
      <w:spacing w:line="560" w:lineRule="exact"/>
      <w:jc w:val="both"/>
    </w:pPr>
    <w:rPr>
      <w:rFonts w:ascii="仿宋_GB2312" w:hAnsi="仿宋_GB2312" w:eastAsia="仿宋_GB2312" w:cs="仿宋_GB2312"/>
      <w:kern w:val="2"/>
      <w:sz w:val="32"/>
      <w:szCs w:val="32"/>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 w:type="paragraph" w:styleId="4">
    <w:name w:val="No Spacing"/>
    <w:qFormat/>
    <w:uiPriority w:val="1"/>
    <w:pPr>
      <w:widowControl w:val="0"/>
      <w:spacing w:line="560" w:lineRule="exact"/>
      <w:ind w:firstLine="200" w:firstLineChars="200"/>
      <w:jc w:val="both"/>
    </w:pPr>
    <w:rPr>
      <w:rFonts w:ascii="仿宋_GB2312" w:hAnsi="仿宋_GB2312" w:eastAsia="仿宋_GB2312" w:cs="仿宋_GB2312"/>
      <w:kern w:val="2"/>
      <w:sz w:val="32"/>
      <w:szCs w:val="3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DengXian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501</Words>
  <Characters>2860</Characters>
  <Lines>23</Lines>
  <Paragraphs>6</Paragraphs>
  <TotalTime>0</TotalTime>
  <ScaleCrop>false</ScaleCrop>
  <LinksUpToDate>false</LinksUpToDate>
  <CharactersWithSpaces>3355</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2021-06-18T01:45:00Z</dcterms:created>
  <dc:creator>- Yvette</dc:creator>
  <cp:lastModifiedBy>洪硕</cp:lastModifiedBy>
  <cp:lastPrinted>2021-06-18T01:45:00Z</cp:lastPrinted>
  <dcterms:modified xsi:type="dcterms:W3CDTF">2023-08-11T09:03:39Z</dcterms:modified>
  <cp:revision>90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7579A9B35372419CB8DA1616F0263A84_12</vt:lpwstr>
  </property>
</Properties>
</file>