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4E7958">
      <w:pPr>
        <w:spacing w:line="560" w:lineRule="exact"/>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14:paraId="47EB1741">
      <w:pPr>
        <w:pageBreakBefore w:val="0"/>
        <w:widowControl w:val="0"/>
        <w:suppressAutoHyphens/>
        <w:kinsoku/>
        <w:wordWrap/>
        <w:overflowPunct/>
        <w:topLinePunct w:val="0"/>
        <w:autoSpaceDE/>
        <w:autoSpaceDN/>
        <w:bidi w:val="0"/>
        <w:spacing w:line="560" w:lineRule="exact"/>
        <w:ind w:firstLine="0" w:firstLineChars="0"/>
        <w:jc w:val="center"/>
        <w:textAlignment w:val="baseline"/>
        <w:rPr>
          <w:rFonts w:hint="default" w:ascii="Times New Roman" w:hAnsi="Times New Roman" w:eastAsia="方正小标宋_GBK" w:cs="Times New Roman"/>
          <w:spacing w:val="-10"/>
          <w:sz w:val="44"/>
          <w:szCs w:val="36"/>
          <w:lang w:val="en-US" w:eastAsia="zh-CN" w:bidi="ar-SA"/>
        </w:rPr>
      </w:pPr>
      <w:r>
        <w:rPr>
          <w:rFonts w:hint="eastAsia" w:ascii="Times New Roman" w:hAnsi="Times New Roman" w:eastAsia="方正小标宋_GBK" w:cs="Times New Roman"/>
          <w:spacing w:val="-10"/>
          <w:sz w:val="44"/>
          <w:szCs w:val="36"/>
          <w:lang w:val="en-US" w:eastAsia="zh-CN" w:bidi="ar-SA"/>
        </w:rPr>
        <w:t>首批技术需求清单</w:t>
      </w:r>
    </w:p>
    <w:tbl>
      <w:tblPr>
        <w:tblStyle w:val="5"/>
        <w:tblW w:w="10554" w:type="dxa"/>
        <w:jc w:val="center"/>
        <w:tblLayout w:type="fixed"/>
        <w:tblCellMar>
          <w:top w:w="0" w:type="dxa"/>
          <w:left w:w="108" w:type="dxa"/>
          <w:bottom w:w="0" w:type="dxa"/>
          <w:right w:w="108" w:type="dxa"/>
        </w:tblCellMar>
      </w:tblPr>
      <w:tblGrid>
        <w:gridCol w:w="755"/>
        <w:gridCol w:w="755"/>
        <w:gridCol w:w="1485"/>
        <w:gridCol w:w="6165"/>
        <w:gridCol w:w="1394"/>
      </w:tblGrid>
      <w:tr w14:paraId="173BA6A0">
        <w:tblPrEx>
          <w:tblCellMar>
            <w:top w:w="0" w:type="dxa"/>
            <w:left w:w="108" w:type="dxa"/>
            <w:bottom w:w="0" w:type="dxa"/>
            <w:right w:w="108" w:type="dxa"/>
          </w:tblCellMar>
        </w:tblPrEx>
        <w:trPr>
          <w:trHeight w:val="64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16C57CAE">
            <w:pPr>
              <w:widowControl/>
              <w:jc w:val="center"/>
              <w:textAlignment w:val="center"/>
              <w:rPr>
                <w:rFonts w:hint="eastAsia" w:ascii="宋体" w:hAnsi="宋体" w:cs="宋体"/>
                <w:b/>
                <w:bCs/>
                <w:color w:val="000000"/>
                <w:szCs w:val="21"/>
              </w:rPr>
            </w:pPr>
            <w:r>
              <w:rPr>
                <w:rFonts w:hint="eastAsia" w:ascii="宋体" w:hAnsi="宋体" w:cs="宋体"/>
                <w:b/>
                <w:bCs/>
                <w:color w:val="000000"/>
                <w:kern w:val="0"/>
                <w:szCs w:val="21"/>
                <w:lang w:bidi="ar"/>
              </w:rPr>
              <w:t>序号</w:t>
            </w:r>
          </w:p>
        </w:tc>
        <w:tc>
          <w:tcPr>
            <w:tcW w:w="755" w:type="dxa"/>
            <w:tcBorders>
              <w:top w:val="single" w:color="000000" w:sz="4" w:space="0"/>
              <w:left w:val="single" w:color="000000" w:sz="4" w:space="0"/>
              <w:bottom w:val="single" w:color="000000" w:sz="4" w:space="0"/>
              <w:right w:val="single" w:color="000000" w:sz="4" w:space="0"/>
            </w:tcBorders>
            <w:noWrap/>
            <w:vAlign w:val="center"/>
          </w:tcPr>
          <w:p w14:paraId="48DCE8C2">
            <w:pPr>
              <w:widowControl/>
              <w:jc w:val="center"/>
              <w:textAlignment w:val="center"/>
              <w:rPr>
                <w:rFonts w:ascii="宋体" w:hAnsi="宋体" w:cs="宋体"/>
                <w:b/>
                <w:bCs/>
                <w:color w:val="000000"/>
                <w:szCs w:val="21"/>
              </w:rPr>
            </w:pPr>
            <w:r>
              <w:rPr>
                <w:rFonts w:hint="eastAsia" w:ascii="宋体" w:hAnsi="宋体" w:cs="宋体"/>
                <w:b/>
                <w:bCs/>
                <w:color w:val="000000"/>
                <w:kern w:val="0"/>
                <w:szCs w:val="21"/>
                <w:lang w:bidi="ar"/>
              </w:rPr>
              <w:t>需求领域</w:t>
            </w: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012A7813">
            <w:pPr>
              <w:widowControl/>
              <w:jc w:val="center"/>
              <w:textAlignment w:val="center"/>
              <w:rPr>
                <w:rFonts w:hint="eastAsia" w:ascii="宋体" w:hAnsi="宋体" w:cs="宋体"/>
                <w:b/>
                <w:bCs/>
                <w:color w:val="000000"/>
                <w:szCs w:val="21"/>
              </w:rPr>
            </w:pPr>
            <w:r>
              <w:rPr>
                <w:rFonts w:hint="eastAsia" w:ascii="宋体" w:hAnsi="宋体" w:cs="宋体"/>
                <w:b/>
                <w:bCs/>
                <w:color w:val="000000"/>
                <w:kern w:val="0"/>
                <w:szCs w:val="21"/>
                <w:lang w:bidi="ar"/>
              </w:rPr>
              <w:t>需求名称</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3B101E34">
            <w:pPr>
              <w:widowControl/>
              <w:jc w:val="center"/>
              <w:textAlignment w:val="center"/>
              <w:rPr>
                <w:rFonts w:hint="eastAsia" w:ascii="宋体" w:hAnsi="宋体" w:cs="宋体"/>
                <w:b/>
                <w:bCs/>
                <w:color w:val="000000"/>
                <w:szCs w:val="21"/>
              </w:rPr>
            </w:pPr>
            <w:r>
              <w:rPr>
                <w:rFonts w:hint="eastAsia" w:ascii="宋体" w:hAnsi="宋体" w:cs="宋体"/>
                <w:b/>
                <w:bCs/>
                <w:color w:val="000000"/>
                <w:kern w:val="0"/>
                <w:szCs w:val="21"/>
                <w:lang w:bidi="ar"/>
              </w:rPr>
              <w:t>内容描述</w:t>
            </w:r>
          </w:p>
        </w:tc>
        <w:tc>
          <w:tcPr>
            <w:tcW w:w="1394" w:type="dxa"/>
            <w:tcBorders>
              <w:top w:val="single" w:color="000000" w:sz="4" w:space="0"/>
              <w:left w:val="single" w:color="000000" w:sz="4" w:space="0"/>
              <w:bottom w:val="single" w:color="000000" w:sz="4" w:space="0"/>
              <w:right w:val="single" w:color="000000" w:sz="4" w:space="0"/>
            </w:tcBorders>
            <w:noWrap/>
            <w:vAlign w:val="center"/>
          </w:tcPr>
          <w:p w14:paraId="042682C5">
            <w:pPr>
              <w:widowControl/>
              <w:jc w:val="center"/>
              <w:textAlignment w:val="center"/>
              <w:rPr>
                <w:rFonts w:ascii="宋体" w:hAnsi="宋体" w:cs="宋体"/>
                <w:b/>
                <w:bCs/>
                <w:color w:val="000000"/>
                <w:kern w:val="0"/>
                <w:szCs w:val="21"/>
                <w:lang w:bidi="ar"/>
              </w:rPr>
            </w:pPr>
            <w:r>
              <w:rPr>
                <w:rFonts w:hint="eastAsia" w:ascii="宋体" w:hAnsi="宋体" w:cs="宋体"/>
                <w:b/>
                <w:bCs/>
                <w:color w:val="000000"/>
                <w:kern w:val="0"/>
                <w:szCs w:val="21"/>
                <w:lang w:bidi="ar"/>
              </w:rPr>
              <w:t>需求方</w:t>
            </w:r>
          </w:p>
        </w:tc>
      </w:tr>
      <w:tr w14:paraId="54542807">
        <w:tblPrEx>
          <w:tblCellMar>
            <w:top w:w="0" w:type="dxa"/>
            <w:left w:w="108" w:type="dxa"/>
            <w:bottom w:w="0" w:type="dxa"/>
            <w:right w:w="108" w:type="dxa"/>
          </w:tblCellMar>
        </w:tblPrEx>
        <w:trPr>
          <w:trHeight w:val="64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2B26DE1B">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w:t>
            </w:r>
          </w:p>
        </w:tc>
        <w:tc>
          <w:tcPr>
            <w:tcW w:w="755" w:type="dxa"/>
            <w:vMerge w:val="restart"/>
            <w:tcBorders>
              <w:top w:val="single" w:color="000000" w:sz="4" w:space="0"/>
              <w:left w:val="single" w:color="000000" w:sz="4" w:space="0"/>
              <w:right w:val="single" w:color="000000" w:sz="4" w:space="0"/>
            </w:tcBorders>
            <w:noWrap/>
            <w:vAlign w:val="center"/>
          </w:tcPr>
          <w:p w14:paraId="23BDF0B5">
            <w:pPr>
              <w:widowControl/>
              <w:jc w:val="left"/>
              <w:textAlignment w:val="center"/>
              <w:rPr>
                <w:rFonts w:hint="eastAsia" w:ascii="宋体" w:hAnsi="宋体" w:cs="宋体"/>
                <w:color w:val="000000"/>
                <w:szCs w:val="21"/>
              </w:rPr>
            </w:pPr>
            <w:r>
              <w:rPr>
                <w:rFonts w:hint="eastAsia" w:ascii="宋体" w:hAnsi="宋体" w:cs="宋体"/>
                <w:color w:val="000000"/>
                <w:szCs w:val="21"/>
              </w:rPr>
              <w:t>轨道交通领域</w:t>
            </w:r>
          </w:p>
          <w:p w14:paraId="1AEBF073">
            <w:pPr>
              <w:spacing w:line="240" w:lineRule="auto"/>
              <w:ind w:firstLine="640" w:firstLineChars="200"/>
              <w:rPr>
                <w:rFonts w:hint="eastAsia" w:ascii="宋体" w:hAnsi="宋体" w:eastAsia="宋体" w:cs="宋体"/>
                <w:color w:val="000000"/>
                <w:sz w:val="21"/>
                <w:szCs w:val="21"/>
                <w:lang w:eastAsia="zh-CN"/>
              </w:rPr>
            </w:pPr>
            <w:r>
              <w:rPr>
                <w:rFonts w:hint="eastAsia" w:ascii="仿宋_GB2312" w:hAnsi="仿宋_GB2312" w:eastAsia="仿宋_GB2312" w:cs="仿宋_GB2312"/>
                <w:sz w:val="32"/>
                <w:szCs w:val="32"/>
              </w:rPr>
              <w:t>0</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咨询电话：</w:t>
            </w:r>
            <w:r>
              <w:rPr>
                <w:rFonts w:hint="eastAsia" w:ascii="宋体" w:hAnsi="宋体" w:eastAsia="宋体" w:cs="宋体"/>
                <w:color w:val="000000"/>
                <w:sz w:val="21"/>
                <w:szCs w:val="21"/>
              </w:rPr>
              <w:t>65360922</w:t>
            </w:r>
            <w:r>
              <w:rPr>
                <w:rFonts w:hint="eastAsia" w:ascii="宋体" w:hAnsi="宋体" w:eastAsia="宋体" w:cs="宋体"/>
                <w:color w:val="000000"/>
                <w:sz w:val="21"/>
                <w:szCs w:val="21"/>
                <w:lang w:eastAsia="zh-CN"/>
              </w:rPr>
              <w:t>）</w:t>
            </w:r>
          </w:p>
          <w:p w14:paraId="396B16B0">
            <w:pPr>
              <w:widowControl/>
              <w:jc w:val="left"/>
              <w:textAlignment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4E450233">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 xml:space="preserve"> LiDAR自动驾驶技术用于铁路周界入侵检测的应用开发合作</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75BE8150">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沿线巡防与周界入侵报警是目前国铁集团的重点关注内容，也是各路局今后几年的重点投资项目之一，其中线路远距离入侵检测和自动报警技术是难点，目前正在尝试的技术包括可见光视频智能分析技术，多光谱图像分析，基于热成像智能分析等。LiDAR自动驾驶技术是目前发展最快的高速、远程（150-250米）、针对人/车/物体的</w:t>
            </w:r>
            <w:bookmarkStart w:id="0" w:name="_GoBack"/>
            <w:bookmarkEnd w:id="0"/>
            <w:r>
              <w:rPr>
                <w:rFonts w:hint="eastAsia" w:ascii="宋体" w:hAnsi="宋体" w:cs="宋体"/>
                <w:color w:val="000000"/>
                <w:kern w:val="0"/>
                <w:szCs w:val="21"/>
                <w:lang w:bidi="ar"/>
              </w:rPr>
              <w:t>准确度高的快速物理探测技术，与铁路的周界入侵检测报警的需求非常相近，设备运行环境也非常相似（比较严酷的户外环境包括震动等）</w:t>
            </w:r>
            <w:r>
              <w:rPr>
                <w:rFonts w:hint="eastAsia" w:ascii="宋体" w:hAnsi="宋体" w:cs="宋体"/>
                <w:color w:val="000000"/>
                <w:kern w:val="0"/>
                <w:szCs w:val="21"/>
                <w:lang w:eastAsia="zh-CN" w:bidi="ar"/>
              </w:rPr>
              <w:t>，</w:t>
            </w:r>
            <w:r>
              <w:rPr>
                <w:rFonts w:hint="eastAsia" w:ascii="宋体" w:hAnsi="宋体" w:cs="宋体"/>
                <w:color w:val="000000"/>
                <w:kern w:val="0"/>
                <w:szCs w:val="21"/>
                <w:lang w:bidi="ar"/>
              </w:rPr>
              <w:t>目前技术项目性质是补强，所以需要与既有铁路视频平台集成商合作。</w:t>
            </w:r>
          </w:p>
        </w:tc>
        <w:tc>
          <w:tcPr>
            <w:tcW w:w="1394" w:type="dxa"/>
            <w:vMerge w:val="restart"/>
            <w:tcBorders>
              <w:top w:val="single" w:color="000000" w:sz="4" w:space="0"/>
              <w:left w:val="single" w:color="000000" w:sz="4" w:space="0"/>
              <w:right w:val="single" w:color="000000" w:sz="4" w:space="0"/>
            </w:tcBorders>
            <w:noWrap/>
            <w:vAlign w:val="center"/>
          </w:tcPr>
          <w:p w14:paraId="75A0C910">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北京世纪瑞尔技术股份有限公司、</w:t>
            </w:r>
          </w:p>
          <w:p w14:paraId="0277AA49">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北京世纪东方智汇科技股份有限公司、</w:t>
            </w:r>
          </w:p>
          <w:p w14:paraId="28AA7B9C">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北京银江瑞讯科技有限公司、</w:t>
            </w:r>
          </w:p>
          <w:p w14:paraId="675EDFAB">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河南辉煌科技股份有限公司、</w:t>
            </w:r>
          </w:p>
          <w:p w14:paraId="007D5B59">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北京佳讯飞鸿电气股份有限公司、</w:t>
            </w:r>
          </w:p>
          <w:p w14:paraId="2F1C31CE">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易程创新科技有限公司、</w:t>
            </w:r>
          </w:p>
          <w:p w14:paraId="4C4780FC">
            <w:pPr>
              <w:widowControl/>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北京铭软智通科技有限责任公司</w:t>
            </w:r>
          </w:p>
        </w:tc>
      </w:tr>
      <w:tr w14:paraId="5EABB667">
        <w:tblPrEx>
          <w:tblCellMar>
            <w:top w:w="0" w:type="dxa"/>
            <w:left w:w="108" w:type="dxa"/>
            <w:bottom w:w="0" w:type="dxa"/>
            <w:right w:w="108" w:type="dxa"/>
          </w:tblCellMar>
        </w:tblPrEx>
        <w:trPr>
          <w:trHeight w:val="64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39A909A9">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w:t>
            </w:r>
          </w:p>
        </w:tc>
        <w:tc>
          <w:tcPr>
            <w:tcW w:w="755" w:type="dxa"/>
            <w:vMerge w:val="continue"/>
            <w:tcBorders>
              <w:left w:val="single" w:color="000000" w:sz="4" w:space="0"/>
              <w:right w:val="single" w:color="000000" w:sz="4" w:space="0"/>
            </w:tcBorders>
            <w:noWrap/>
            <w:vAlign w:val="center"/>
          </w:tcPr>
          <w:p w14:paraId="1A1DC8C6">
            <w:pPr>
              <w:widowControl/>
              <w:jc w:val="center"/>
              <w:textAlignment w:val="center"/>
              <w:rPr>
                <w:rFonts w:hint="eastAsia" w:ascii="宋体" w:hAnsi="宋体" w:cs="宋体"/>
                <w:b/>
                <w:bCs/>
                <w:color w:val="000000"/>
                <w:kern w:val="0"/>
                <w:szCs w:val="21"/>
                <w:lang w:bidi="ar"/>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32063182">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铁路无人机飞控、载荷及长航时技术的应用开发合作</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52EA1EC7">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无人机应用正处在逐步开始阶段，需要长航时、高精度视觉载荷以及高安全精准复拍的无人机飞控、载荷、专用电池等技术，目前以大疆商业无人机为主，需要找能改进大疆无人机或开发专用无人机的技术厂家进行合作。</w:t>
            </w:r>
          </w:p>
        </w:tc>
        <w:tc>
          <w:tcPr>
            <w:tcW w:w="1394" w:type="dxa"/>
            <w:vMerge w:val="continue"/>
            <w:tcBorders>
              <w:left w:val="single" w:color="000000" w:sz="4" w:space="0"/>
              <w:right w:val="single" w:color="000000" w:sz="4" w:space="0"/>
            </w:tcBorders>
            <w:noWrap/>
            <w:vAlign w:val="center"/>
          </w:tcPr>
          <w:p w14:paraId="3FAFAA14">
            <w:pPr>
              <w:widowControl/>
              <w:jc w:val="center"/>
              <w:textAlignment w:val="center"/>
              <w:rPr>
                <w:rFonts w:hint="eastAsia" w:ascii="宋体" w:hAnsi="宋体" w:cs="宋体"/>
                <w:b/>
                <w:bCs/>
                <w:color w:val="000000"/>
                <w:kern w:val="0"/>
                <w:szCs w:val="21"/>
                <w:lang w:bidi="ar"/>
              </w:rPr>
            </w:pPr>
          </w:p>
        </w:tc>
      </w:tr>
      <w:tr w14:paraId="31317522">
        <w:tblPrEx>
          <w:tblCellMar>
            <w:top w:w="0" w:type="dxa"/>
            <w:left w:w="108" w:type="dxa"/>
            <w:bottom w:w="0" w:type="dxa"/>
            <w:right w:w="108" w:type="dxa"/>
          </w:tblCellMar>
        </w:tblPrEx>
        <w:trPr>
          <w:trHeight w:val="64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25E24375">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w:t>
            </w:r>
          </w:p>
        </w:tc>
        <w:tc>
          <w:tcPr>
            <w:tcW w:w="755" w:type="dxa"/>
            <w:vMerge w:val="continue"/>
            <w:tcBorders>
              <w:left w:val="single" w:color="000000" w:sz="4" w:space="0"/>
              <w:right w:val="single" w:color="000000" w:sz="4" w:space="0"/>
            </w:tcBorders>
            <w:noWrap/>
            <w:vAlign w:val="center"/>
          </w:tcPr>
          <w:p w14:paraId="23A83D14">
            <w:pPr>
              <w:widowControl/>
              <w:jc w:val="center"/>
              <w:textAlignment w:val="center"/>
              <w:rPr>
                <w:rFonts w:hint="eastAsia" w:ascii="宋体" w:hAnsi="宋体" w:cs="宋体"/>
                <w:b/>
                <w:bCs/>
                <w:color w:val="000000"/>
                <w:kern w:val="0"/>
                <w:szCs w:val="21"/>
                <w:lang w:bidi="ar"/>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223D5893">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铁路通信音视频云平台基础软件的应用开发合作</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0D90B29">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通信已经开始应用云计算和云存储，但从通信业务角度看，我们不仅单纯提供一般云计算和云存储服务，而是提供音视频云平台，目前集成商（视频平台）不具备这样的开发能力，所以需要寻找音视频平台的合作。</w:t>
            </w:r>
          </w:p>
        </w:tc>
        <w:tc>
          <w:tcPr>
            <w:tcW w:w="1394" w:type="dxa"/>
            <w:vMerge w:val="continue"/>
            <w:tcBorders>
              <w:left w:val="single" w:color="000000" w:sz="4" w:space="0"/>
              <w:right w:val="single" w:color="000000" w:sz="4" w:space="0"/>
            </w:tcBorders>
            <w:noWrap/>
            <w:vAlign w:val="center"/>
          </w:tcPr>
          <w:p w14:paraId="6F9E9B5E">
            <w:pPr>
              <w:widowControl/>
              <w:jc w:val="center"/>
              <w:textAlignment w:val="center"/>
              <w:rPr>
                <w:rFonts w:hint="eastAsia" w:ascii="宋体" w:hAnsi="宋体" w:cs="宋体"/>
                <w:b/>
                <w:bCs/>
                <w:color w:val="000000"/>
                <w:kern w:val="0"/>
                <w:szCs w:val="21"/>
                <w:lang w:bidi="ar"/>
              </w:rPr>
            </w:pPr>
          </w:p>
        </w:tc>
      </w:tr>
      <w:tr w14:paraId="62674232">
        <w:tblPrEx>
          <w:tblCellMar>
            <w:top w:w="0" w:type="dxa"/>
            <w:left w:w="108" w:type="dxa"/>
            <w:bottom w:w="0" w:type="dxa"/>
            <w:right w:w="108" w:type="dxa"/>
          </w:tblCellMar>
        </w:tblPrEx>
        <w:trPr>
          <w:trHeight w:val="64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38D47F45">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w:t>
            </w:r>
          </w:p>
        </w:tc>
        <w:tc>
          <w:tcPr>
            <w:tcW w:w="755" w:type="dxa"/>
            <w:vMerge w:val="continue"/>
            <w:tcBorders>
              <w:left w:val="single" w:color="000000" w:sz="4" w:space="0"/>
              <w:bottom w:val="single" w:color="000000" w:sz="4" w:space="0"/>
              <w:right w:val="single" w:color="000000" w:sz="4" w:space="0"/>
            </w:tcBorders>
            <w:noWrap/>
            <w:vAlign w:val="center"/>
          </w:tcPr>
          <w:p w14:paraId="24C101EA">
            <w:pPr>
              <w:widowControl/>
              <w:jc w:val="center"/>
              <w:textAlignment w:val="center"/>
              <w:rPr>
                <w:rFonts w:hint="eastAsia" w:ascii="宋体" w:hAnsi="宋体" w:cs="宋体"/>
                <w:b/>
                <w:bCs/>
                <w:color w:val="000000"/>
                <w:kern w:val="0"/>
                <w:szCs w:val="21"/>
                <w:lang w:bidi="ar"/>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471D333C">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铁路图像智能分析开发平台的合作</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03115885">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铁路图像智能分析属于长尾型业务，需要适应灵活定制和不同场景小样本的视频分析软件平台，目前行业内专业场景分析的厂家和专业队伍较少，需要找有合适技术能力的企业合作。</w:t>
            </w:r>
          </w:p>
        </w:tc>
        <w:tc>
          <w:tcPr>
            <w:tcW w:w="1394" w:type="dxa"/>
            <w:vMerge w:val="continue"/>
            <w:tcBorders>
              <w:left w:val="single" w:color="000000" w:sz="4" w:space="0"/>
              <w:bottom w:val="single" w:color="000000" w:sz="4" w:space="0"/>
              <w:right w:val="single" w:color="000000" w:sz="4" w:space="0"/>
            </w:tcBorders>
            <w:noWrap/>
            <w:vAlign w:val="center"/>
          </w:tcPr>
          <w:p w14:paraId="5A7B6E35">
            <w:pPr>
              <w:widowControl/>
              <w:jc w:val="center"/>
              <w:textAlignment w:val="center"/>
              <w:rPr>
                <w:rFonts w:hint="eastAsia" w:ascii="宋体" w:hAnsi="宋体" w:cs="宋体"/>
                <w:b/>
                <w:bCs/>
                <w:color w:val="000000"/>
                <w:kern w:val="0"/>
                <w:szCs w:val="21"/>
                <w:lang w:bidi="ar"/>
              </w:rPr>
            </w:pPr>
          </w:p>
        </w:tc>
      </w:tr>
      <w:tr w14:paraId="122D3641">
        <w:tblPrEx>
          <w:tblCellMar>
            <w:top w:w="0" w:type="dxa"/>
            <w:left w:w="108" w:type="dxa"/>
            <w:bottom w:w="0" w:type="dxa"/>
            <w:right w:w="108" w:type="dxa"/>
          </w:tblCellMar>
        </w:tblPrEx>
        <w:trPr>
          <w:trHeight w:val="201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F6A646F">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w:t>
            </w:r>
          </w:p>
        </w:tc>
        <w:tc>
          <w:tcPr>
            <w:tcW w:w="755" w:type="dxa"/>
            <w:vMerge w:val="restart"/>
            <w:tcBorders>
              <w:top w:val="single" w:color="000000" w:sz="4" w:space="0"/>
              <w:left w:val="single" w:color="000000" w:sz="4" w:space="0"/>
              <w:right w:val="single" w:color="000000" w:sz="4" w:space="0"/>
            </w:tcBorders>
            <w:noWrap w:val="0"/>
            <w:vAlign w:val="center"/>
          </w:tcPr>
          <w:p w14:paraId="18A59EAA">
            <w:pPr>
              <w:widowControl/>
              <w:jc w:val="left"/>
              <w:textAlignment w:val="center"/>
              <w:rPr>
                <w:rFonts w:hint="eastAsia" w:ascii="宋体" w:hAnsi="宋体" w:cs="宋体"/>
                <w:color w:val="000000"/>
                <w:szCs w:val="21"/>
              </w:rPr>
            </w:pPr>
            <w:r>
              <w:rPr>
                <w:rFonts w:hint="eastAsia" w:ascii="宋体" w:hAnsi="宋体" w:cs="宋体"/>
                <w:color w:val="000000"/>
                <w:szCs w:val="21"/>
              </w:rPr>
              <w:t>5G专网建设领域</w:t>
            </w:r>
          </w:p>
          <w:p w14:paraId="1DD94AB1">
            <w:pPr>
              <w:spacing w:line="240" w:lineRule="auto"/>
              <w:ind w:firstLine="640"/>
              <w:rPr>
                <w:rFonts w:hint="eastAsia" w:ascii="宋体" w:hAnsi="宋体" w:eastAsia="宋体" w:cs="宋体"/>
                <w:color w:val="000000"/>
                <w:sz w:val="21"/>
                <w:szCs w:val="21"/>
              </w:rPr>
            </w:pPr>
            <w:r>
              <w:rPr>
                <w:rFonts w:hint="eastAsia" w:ascii="仿宋_GB2312" w:hAnsi="仿宋_GB2312" w:eastAsia="仿宋_GB2312" w:cs="仿宋_GB2312"/>
                <w:sz w:val="32"/>
                <w:szCs w:val="32"/>
              </w:rPr>
              <w:t>5</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咨询电话：</w:t>
            </w:r>
            <w:r>
              <w:rPr>
                <w:rFonts w:hint="eastAsia" w:ascii="宋体" w:hAnsi="宋体" w:eastAsia="宋体" w:cs="宋体"/>
                <w:color w:val="000000"/>
                <w:sz w:val="21"/>
                <w:szCs w:val="21"/>
              </w:rPr>
              <w:t>52696688-6008</w:t>
            </w:r>
            <w:r>
              <w:rPr>
                <w:rFonts w:hint="eastAsia" w:ascii="宋体" w:hAnsi="宋体" w:eastAsia="宋体" w:cs="宋体"/>
                <w:color w:val="000000"/>
                <w:sz w:val="21"/>
                <w:szCs w:val="21"/>
                <w:lang w:eastAsia="zh-CN"/>
              </w:rPr>
              <w:t>）</w:t>
            </w:r>
          </w:p>
          <w:p w14:paraId="16788946">
            <w:pPr>
              <w:spacing w:line="240" w:lineRule="auto"/>
              <w:ind w:firstLine="640"/>
              <w:rPr>
                <w:rFonts w:hint="eastAsia" w:ascii="仿宋_GB2312" w:hAnsi="仿宋_GB2312" w:eastAsia="仿宋_GB2312" w:cs="仿宋_GB2312"/>
                <w:sz w:val="32"/>
                <w:szCs w:val="32"/>
              </w:rPr>
            </w:pPr>
          </w:p>
          <w:p w14:paraId="451333E1">
            <w:pPr>
              <w:widowControl/>
              <w:jc w:val="left"/>
              <w:textAlignment w:val="center"/>
              <w:rPr>
                <w:rFonts w:hint="eastAsia" w:ascii="宋体" w:hAnsi="宋体" w:cs="宋体"/>
                <w:color w:val="000000"/>
                <w:szCs w:val="21"/>
              </w:rPr>
            </w:pPr>
          </w:p>
        </w:tc>
        <w:tc>
          <w:tcPr>
            <w:tcW w:w="1485" w:type="dxa"/>
            <w:vMerge w:val="restart"/>
            <w:tcBorders>
              <w:top w:val="single" w:color="000000" w:sz="4" w:space="0"/>
              <w:left w:val="single" w:color="000000" w:sz="4" w:space="0"/>
              <w:right w:val="single" w:color="000000" w:sz="4" w:space="0"/>
            </w:tcBorders>
            <w:noWrap/>
            <w:vAlign w:val="center"/>
          </w:tcPr>
          <w:p w14:paraId="0F26112D">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5G应用于不同领域的专网建设相关芯片、器件、软件和整机技术研发合作</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727E967E">
            <w:pPr>
              <w:widowControl/>
              <w:jc w:val="left"/>
              <w:textAlignment w:val="center"/>
              <w:rPr>
                <w:rFonts w:ascii="宋体" w:hAnsi="宋体" w:cs="宋体"/>
                <w:color w:val="000000"/>
                <w:szCs w:val="21"/>
              </w:rPr>
            </w:pPr>
            <w:r>
              <w:rPr>
                <w:rFonts w:hint="eastAsia" w:ascii="宋体" w:hAnsi="宋体" w:cs="宋体"/>
                <w:kern w:val="0"/>
                <w:sz w:val="21"/>
                <w:szCs w:val="21"/>
                <w:lang w:bidi="ar"/>
              </w:rPr>
              <w:t>工业互联网领域5G专网解决方案相关的技术：包括</w:t>
            </w:r>
            <w:r>
              <w:rPr>
                <w:rStyle w:val="6"/>
                <w:rFonts w:hint="default"/>
                <w:color w:val="auto"/>
                <w:sz w:val="21"/>
                <w:szCs w:val="21"/>
                <w:lang w:bidi="ar"/>
              </w:rPr>
              <w:t>数据处理芯片（</w:t>
            </w:r>
            <w:r>
              <w:rPr>
                <w:rStyle w:val="7"/>
                <w:rFonts w:hint="default"/>
                <w:color w:val="auto"/>
                <w:sz w:val="21"/>
                <w:szCs w:val="21"/>
                <w:lang w:bidi="ar"/>
              </w:rPr>
              <w:t>FPGA、MCU、DPU、GPU、CPU</w:t>
            </w:r>
            <w:r>
              <w:rPr>
                <w:rStyle w:val="6"/>
                <w:rFonts w:hint="default"/>
                <w:color w:val="auto"/>
                <w:sz w:val="21"/>
                <w:szCs w:val="21"/>
                <w:lang w:bidi="ar"/>
              </w:rPr>
              <w:t>）；射频</w:t>
            </w:r>
            <w:r>
              <w:rPr>
                <w:rStyle w:val="6"/>
                <w:color w:val="auto"/>
                <w:sz w:val="21"/>
                <w:szCs w:val="21"/>
                <w:lang w:bidi="ar"/>
              </w:rPr>
              <w:t>芯片（</w:t>
            </w:r>
            <w:r>
              <w:rPr>
                <w:rStyle w:val="7"/>
                <w:rFonts w:hint="default"/>
                <w:color w:val="auto"/>
                <w:sz w:val="21"/>
                <w:szCs w:val="21"/>
                <w:lang w:bidi="ar"/>
              </w:rPr>
              <w:t>mmw相控阵天线、各类终端天线、放大器）；</w:t>
            </w:r>
            <w:r>
              <w:rPr>
                <w:rStyle w:val="7"/>
                <w:color w:val="auto"/>
                <w:sz w:val="21"/>
                <w:szCs w:val="21"/>
                <w:lang w:bidi="ar"/>
              </w:rPr>
              <w:t>5G专网设备（1.</w:t>
            </w:r>
            <w:r>
              <w:rPr>
                <w:rStyle w:val="7"/>
                <w:rFonts w:hint="default"/>
                <w:color w:val="auto"/>
                <w:sz w:val="21"/>
                <w:szCs w:val="21"/>
                <w:lang w:bidi="ar"/>
              </w:rPr>
              <w:t>以太网交换机、TSN交换机、mmw基站、无线MESH设备。</w:t>
            </w:r>
            <w:r>
              <w:rPr>
                <w:rStyle w:val="6"/>
                <w:rFonts w:hint="default"/>
                <w:color w:val="auto"/>
                <w:sz w:val="21"/>
                <w:szCs w:val="21"/>
                <w:lang w:bidi="ar"/>
              </w:rPr>
              <w:t>2</w:t>
            </w:r>
            <w:r>
              <w:rPr>
                <w:rStyle w:val="6"/>
                <w:color w:val="auto"/>
                <w:sz w:val="21"/>
                <w:szCs w:val="21"/>
                <w:lang w:bidi="ar"/>
              </w:rPr>
              <w:t>.</w:t>
            </w:r>
            <w:r>
              <w:rPr>
                <w:rStyle w:val="7"/>
                <w:rFonts w:hint="default"/>
                <w:color w:val="auto"/>
                <w:sz w:val="21"/>
                <w:szCs w:val="21"/>
                <w:lang w:bidi="ar"/>
              </w:rPr>
              <w:t>5G终端智能工业网关</w:t>
            </w:r>
            <w:r>
              <w:rPr>
                <w:rStyle w:val="6"/>
                <w:rFonts w:hint="default"/>
                <w:color w:val="auto"/>
                <w:sz w:val="21"/>
                <w:szCs w:val="21"/>
                <w:lang w:bidi="ar"/>
              </w:rPr>
              <w:t>。</w:t>
            </w:r>
            <w:r>
              <w:rPr>
                <w:rStyle w:val="6"/>
                <w:color w:val="auto"/>
                <w:sz w:val="21"/>
                <w:szCs w:val="21"/>
                <w:lang w:bidi="ar"/>
              </w:rPr>
              <w:t>3.</w:t>
            </w:r>
            <w:r>
              <w:rPr>
                <w:rStyle w:val="6"/>
                <w:rFonts w:hint="default"/>
                <w:color w:val="auto"/>
                <w:sz w:val="21"/>
                <w:szCs w:val="21"/>
                <w:lang w:bidi="ar"/>
              </w:rPr>
              <w:t>国产服务器及配件：主要应用基站及核心网的</w:t>
            </w:r>
            <w:r>
              <w:rPr>
                <w:rStyle w:val="7"/>
                <w:rFonts w:hint="default"/>
                <w:color w:val="auto"/>
                <w:sz w:val="21"/>
                <w:szCs w:val="21"/>
                <w:lang w:bidi="ar"/>
              </w:rPr>
              <w:t>GPU/CPU</w:t>
            </w:r>
            <w:r>
              <w:rPr>
                <w:rStyle w:val="7"/>
                <w:color w:val="auto"/>
                <w:sz w:val="21"/>
                <w:szCs w:val="21"/>
                <w:lang w:bidi="ar"/>
              </w:rPr>
              <w:t>板卡</w:t>
            </w:r>
            <w:r>
              <w:rPr>
                <w:rStyle w:val="6"/>
                <w:rFonts w:hint="default"/>
                <w:color w:val="auto"/>
                <w:sz w:val="21"/>
                <w:szCs w:val="21"/>
                <w:lang w:bidi="ar"/>
              </w:rPr>
              <w:t>如飞腾FT2000/5000、瑞芯微3588等；</w:t>
            </w:r>
            <w:r>
              <w:rPr>
                <w:rStyle w:val="7"/>
                <w:rFonts w:hint="default"/>
                <w:color w:val="auto"/>
                <w:sz w:val="21"/>
                <w:szCs w:val="21"/>
                <w:lang w:bidi="ar"/>
              </w:rPr>
              <w:t>国产FPGA</w:t>
            </w:r>
            <w:r>
              <w:rPr>
                <w:rStyle w:val="6"/>
                <w:rFonts w:hint="default"/>
                <w:color w:val="auto"/>
                <w:sz w:val="21"/>
                <w:szCs w:val="21"/>
                <w:lang w:bidi="ar"/>
              </w:rPr>
              <w:t>如复旦微）。</w:t>
            </w:r>
          </w:p>
        </w:tc>
        <w:tc>
          <w:tcPr>
            <w:tcW w:w="1394" w:type="dxa"/>
            <w:vMerge w:val="restart"/>
            <w:tcBorders>
              <w:top w:val="single" w:color="000000" w:sz="4" w:space="0"/>
              <w:left w:val="single" w:color="000000" w:sz="4" w:space="0"/>
              <w:right w:val="single" w:color="000000" w:sz="4" w:space="0"/>
            </w:tcBorders>
            <w:noWrap/>
            <w:vAlign w:val="center"/>
          </w:tcPr>
          <w:p w14:paraId="3BB5B827">
            <w:pPr>
              <w:widowControl/>
              <w:jc w:val="left"/>
              <w:textAlignment w:val="center"/>
              <w:rPr>
                <w:rFonts w:ascii="宋体" w:hAnsi="宋体" w:cs="宋体"/>
                <w:kern w:val="0"/>
                <w:sz w:val="22"/>
                <w:szCs w:val="22"/>
                <w:lang w:bidi="ar"/>
              </w:rPr>
            </w:pPr>
            <w:r>
              <w:rPr>
                <w:rFonts w:hint="eastAsia" w:ascii="宋体" w:hAnsi="宋体" w:cs="宋体"/>
                <w:kern w:val="0"/>
                <w:sz w:val="22"/>
                <w:szCs w:val="22"/>
                <w:lang w:bidi="ar"/>
              </w:rPr>
              <w:t>中国移动通信集团设计院有限公司通信系统与设备研究所</w:t>
            </w:r>
          </w:p>
        </w:tc>
      </w:tr>
      <w:tr w14:paraId="61367309">
        <w:tblPrEx>
          <w:tblCellMar>
            <w:top w:w="0" w:type="dxa"/>
            <w:left w:w="108" w:type="dxa"/>
            <w:bottom w:w="0" w:type="dxa"/>
            <w:right w:w="108" w:type="dxa"/>
          </w:tblCellMar>
        </w:tblPrEx>
        <w:trPr>
          <w:trHeight w:val="108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2F6879B8">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w:t>
            </w:r>
          </w:p>
        </w:tc>
        <w:tc>
          <w:tcPr>
            <w:tcW w:w="755" w:type="dxa"/>
            <w:vMerge w:val="continue"/>
            <w:tcBorders>
              <w:left w:val="single" w:color="000000" w:sz="4" w:space="0"/>
              <w:right w:val="single" w:color="000000" w:sz="4" w:space="0"/>
            </w:tcBorders>
            <w:noWrap w:val="0"/>
            <w:vAlign w:val="center"/>
          </w:tcPr>
          <w:p w14:paraId="392D76B7">
            <w:pPr>
              <w:jc w:val="left"/>
              <w:rPr>
                <w:rFonts w:hint="eastAsia" w:ascii="宋体" w:hAnsi="宋体" w:cs="宋体"/>
                <w:color w:val="000000"/>
                <w:szCs w:val="21"/>
              </w:rPr>
            </w:pPr>
          </w:p>
        </w:tc>
        <w:tc>
          <w:tcPr>
            <w:tcW w:w="1485" w:type="dxa"/>
            <w:vMerge w:val="continue"/>
            <w:tcBorders>
              <w:left w:val="single" w:color="000000" w:sz="4" w:space="0"/>
              <w:right w:val="single" w:color="000000" w:sz="4" w:space="0"/>
            </w:tcBorders>
            <w:noWrap/>
            <w:vAlign w:val="center"/>
          </w:tcPr>
          <w:p w14:paraId="498ADADA">
            <w:pPr>
              <w:widowControl/>
              <w:textAlignment w:val="center"/>
              <w:rPr>
                <w:rFonts w:hint="eastAsia" w:ascii="宋体" w:hAnsi="宋体" w:cs="宋体"/>
                <w:color w:val="000000"/>
                <w:szCs w:val="21"/>
              </w:rPr>
            </w:pP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8F7E720">
            <w:pPr>
              <w:widowControl/>
              <w:textAlignment w:val="center"/>
              <w:rPr>
                <w:rFonts w:ascii="宋体" w:hAnsi="宋体" w:cs="宋体"/>
                <w:color w:val="000000"/>
                <w:szCs w:val="21"/>
              </w:rPr>
            </w:pPr>
            <w:r>
              <w:rPr>
                <w:rFonts w:hint="eastAsia" w:ascii="宋体" w:hAnsi="宋体" w:cs="宋体"/>
                <w:color w:val="000000"/>
                <w:kern w:val="0"/>
                <w:sz w:val="21"/>
                <w:szCs w:val="21"/>
                <w:lang w:bidi="ar"/>
              </w:rPr>
              <w:t>智慧园区领域5G专网解决方案相关技术：包括</w:t>
            </w:r>
            <w:r>
              <w:rPr>
                <w:rStyle w:val="6"/>
                <w:rFonts w:hint="default"/>
                <w:sz w:val="21"/>
                <w:szCs w:val="21"/>
                <w:lang w:bidi="ar"/>
              </w:rPr>
              <w:t>数据处理芯片</w:t>
            </w:r>
            <w:r>
              <w:rPr>
                <w:rFonts w:hint="eastAsia" w:ascii="宋体" w:hAnsi="宋体" w:cs="宋体"/>
                <w:kern w:val="0"/>
                <w:sz w:val="21"/>
                <w:szCs w:val="21"/>
                <w:lang w:bidi="ar"/>
              </w:rPr>
              <w:t>（FPGA、MCU、DPU、GPU、CPU）；射频芯片（mmw相控阵天线、各类终端天线、放大器）；5G专网设备（1.以太网交换机、TSN交换机、mmw基站、无线MESH设备。2.国产服务器及配件：主要应用基站及核心网的GPU/CPU板卡如飞腾FT2000/5000、瑞芯微3588等；国产FPGA如复旦微）。</w:t>
            </w:r>
          </w:p>
        </w:tc>
        <w:tc>
          <w:tcPr>
            <w:tcW w:w="1394" w:type="dxa"/>
            <w:vMerge w:val="continue"/>
            <w:tcBorders>
              <w:left w:val="single" w:color="000000" w:sz="4" w:space="0"/>
              <w:right w:val="single" w:color="000000" w:sz="4" w:space="0"/>
            </w:tcBorders>
            <w:noWrap/>
            <w:vAlign w:val="center"/>
          </w:tcPr>
          <w:p w14:paraId="1A50FC6D">
            <w:pPr>
              <w:widowControl/>
              <w:textAlignment w:val="center"/>
              <w:rPr>
                <w:rFonts w:hint="eastAsia" w:ascii="宋体" w:hAnsi="宋体" w:cs="宋体"/>
                <w:color w:val="000000"/>
                <w:kern w:val="0"/>
                <w:sz w:val="22"/>
                <w:szCs w:val="22"/>
                <w:lang w:bidi="ar"/>
              </w:rPr>
            </w:pPr>
          </w:p>
        </w:tc>
      </w:tr>
      <w:tr w14:paraId="22FF7897">
        <w:tblPrEx>
          <w:tblCellMar>
            <w:top w:w="0" w:type="dxa"/>
            <w:left w:w="108" w:type="dxa"/>
            <w:bottom w:w="0" w:type="dxa"/>
            <w:right w:w="108" w:type="dxa"/>
          </w:tblCellMar>
        </w:tblPrEx>
        <w:trPr>
          <w:trHeight w:val="108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4098941D">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w:t>
            </w:r>
          </w:p>
        </w:tc>
        <w:tc>
          <w:tcPr>
            <w:tcW w:w="755" w:type="dxa"/>
            <w:vMerge w:val="continue"/>
            <w:tcBorders>
              <w:left w:val="single" w:color="000000" w:sz="4" w:space="0"/>
              <w:right w:val="single" w:color="000000" w:sz="4" w:space="0"/>
            </w:tcBorders>
            <w:noWrap w:val="0"/>
            <w:vAlign w:val="center"/>
          </w:tcPr>
          <w:p w14:paraId="591FDD90">
            <w:pPr>
              <w:jc w:val="left"/>
              <w:rPr>
                <w:rFonts w:hint="eastAsia" w:ascii="宋体" w:hAnsi="宋体" w:cs="宋体"/>
                <w:color w:val="000000"/>
                <w:szCs w:val="21"/>
              </w:rPr>
            </w:pPr>
          </w:p>
        </w:tc>
        <w:tc>
          <w:tcPr>
            <w:tcW w:w="1485" w:type="dxa"/>
            <w:vMerge w:val="continue"/>
            <w:tcBorders>
              <w:left w:val="single" w:color="000000" w:sz="4" w:space="0"/>
              <w:right w:val="single" w:color="000000" w:sz="4" w:space="0"/>
            </w:tcBorders>
            <w:noWrap/>
            <w:vAlign w:val="center"/>
          </w:tcPr>
          <w:p w14:paraId="6769066F">
            <w:pPr>
              <w:widowControl/>
              <w:textAlignment w:val="center"/>
              <w:rPr>
                <w:rFonts w:hint="eastAsia" w:ascii="宋体" w:hAnsi="宋体" w:cs="宋体"/>
                <w:color w:val="000000"/>
                <w:szCs w:val="21"/>
              </w:rPr>
            </w:pP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382AF614">
            <w:pPr>
              <w:widowControl/>
              <w:textAlignment w:val="center"/>
              <w:rPr>
                <w:rFonts w:ascii="宋体" w:hAnsi="宋体" w:cs="宋体"/>
                <w:color w:val="000000"/>
                <w:szCs w:val="21"/>
              </w:rPr>
            </w:pPr>
            <w:r>
              <w:rPr>
                <w:rFonts w:hint="eastAsia" w:ascii="宋体" w:hAnsi="宋体" w:cs="宋体"/>
                <w:color w:val="000000"/>
                <w:kern w:val="0"/>
                <w:sz w:val="21"/>
                <w:szCs w:val="21"/>
                <w:lang w:bidi="ar"/>
              </w:rPr>
              <w:t>车联网领域</w:t>
            </w:r>
            <w:r>
              <w:rPr>
                <w:rFonts w:hint="eastAsia" w:ascii="宋体" w:hAnsi="宋体" w:cs="宋体"/>
                <w:kern w:val="0"/>
                <w:sz w:val="21"/>
                <w:szCs w:val="21"/>
                <w:lang w:bidi="ar"/>
              </w:rPr>
              <w:t>5G专网解决方案相关技术：包括数据处理芯片技术（FPGA、MCU、DPU、GPU、CPU）；射频芯片技术（mmw相控阵天线、各类终端天线、放大器）；5G专网设备技术（1.以太网交换机、TSN交换机、mmw基站、无线MESH设备。2.国产服务器及配件：主要应用基站及核心网的GPU/CPU板卡如飞腾FT2000/5000、瑞芯微3588等；国产FPGA如复旦微）。</w:t>
            </w:r>
          </w:p>
        </w:tc>
        <w:tc>
          <w:tcPr>
            <w:tcW w:w="1394" w:type="dxa"/>
            <w:vMerge w:val="continue"/>
            <w:tcBorders>
              <w:left w:val="single" w:color="000000" w:sz="4" w:space="0"/>
              <w:right w:val="single" w:color="000000" w:sz="4" w:space="0"/>
            </w:tcBorders>
            <w:noWrap/>
            <w:vAlign w:val="center"/>
          </w:tcPr>
          <w:p w14:paraId="52534BB9">
            <w:pPr>
              <w:widowControl/>
              <w:textAlignment w:val="center"/>
              <w:rPr>
                <w:rFonts w:hint="eastAsia" w:ascii="宋体" w:hAnsi="宋体" w:cs="宋体"/>
                <w:color w:val="000000"/>
                <w:kern w:val="0"/>
                <w:sz w:val="22"/>
                <w:szCs w:val="22"/>
                <w:lang w:bidi="ar"/>
              </w:rPr>
            </w:pPr>
          </w:p>
        </w:tc>
      </w:tr>
      <w:tr w14:paraId="23231635">
        <w:tblPrEx>
          <w:tblCellMar>
            <w:top w:w="0" w:type="dxa"/>
            <w:left w:w="108" w:type="dxa"/>
            <w:bottom w:w="0" w:type="dxa"/>
            <w:right w:w="108" w:type="dxa"/>
          </w:tblCellMar>
        </w:tblPrEx>
        <w:trPr>
          <w:trHeight w:val="108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11940CAC">
            <w:pPr>
              <w:widowControl/>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w:t>
            </w:r>
          </w:p>
        </w:tc>
        <w:tc>
          <w:tcPr>
            <w:tcW w:w="755" w:type="dxa"/>
            <w:vMerge w:val="continue"/>
            <w:tcBorders>
              <w:left w:val="single" w:color="000000" w:sz="4" w:space="0"/>
              <w:right w:val="single" w:color="000000" w:sz="4" w:space="0"/>
            </w:tcBorders>
            <w:noWrap w:val="0"/>
            <w:vAlign w:val="center"/>
          </w:tcPr>
          <w:p w14:paraId="6A78E779">
            <w:pPr>
              <w:jc w:val="left"/>
              <w:rPr>
                <w:rFonts w:hint="eastAsia" w:ascii="宋体" w:hAnsi="宋体" w:cs="宋体"/>
                <w:color w:val="000000"/>
                <w:szCs w:val="21"/>
              </w:rPr>
            </w:pPr>
          </w:p>
        </w:tc>
        <w:tc>
          <w:tcPr>
            <w:tcW w:w="1485" w:type="dxa"/>
            <w:vMerge w:val="continue"/>
            <w:tcBorders>
              <w:left w:val="single" w:color="000000" w:sz="4" w:space="0"/>
              <w:right w:val="single" w:color="000000" w:sz="4" w:space="0"/>
            </w:tcBorders>
            <w:noWrap/>
            <w:vAlign w:val="center"/>
          </w:tcPr>
          <w:p w14:paraId="6BE86FAF">
            <w:pPr>
              <w:widowControl/>
              <w:textAlignment w:val="center"/>
              <w:rPr>
                <w:rFonts w:hint="eastAsia" w:ascii="宋体" w:hAnsi="宋体" w:cs="宋体"/>
                <w:color w:val="000000"/>
                <w:szCs w:val="21"/>
              </w:rPr>
            </w:pP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14BAAF7E">
            <w:pPr>
              <w:widowControl/>
              <w:textAlignment w:val="center"/>
              <w:rPr>
                <w:rFonts w:ascii="宋体" w:hAnsi="宋体" w:cs="宋体"/>
                <w:color w:val="000000"/>
                <w:szCs w:val="21"/>
              </w:rPr>
            </w:pPr>
            <w:r>
              <w:rPr>
                <w:rFonts w:hint="eastAsia" w:ascii="宋体" w:hAnsi="宋体" w:cs="宋体"/>
                <w:color w:val="000000"/>
                <w:kern w:val="0"/>
                <w:sz w:val="21"/>
                <w:szCs w:val="21"/>
                <w:lang w:bidi="ar"/>
              </w:rPr>
              <w:t>无人集群相关5G专网解决方案技术：</w:t>
            </w:r>
            <w:r>
              <w:rPr>
                <w:rFonts w:hint="eastAsia" w:ascii="宋体" w:hAnsi="宋体" w:cs="宋体"/>
                <w:kern w:val="0"/>
                <w:sz w:val="21"/>
                <w:szCs w:val="21"/>
                <w:lang w:bidi="ar"/>
              </w:rPr>
              <w:t>包括数据处理芯片技术（FPGA、MCU、DPU、GPU、CPU）；射频芯片技术（mmw相控阵天线、各类终端天线、放大器）；5G专网设备技术（1.以太网交换机、TSN交换机、mmw基站、无线MESH设备。2.主要应用基站及核心网的国产GPU/CPU板卡如飞腾FT2000/5000、瑞芯微3588等、国产FPGA如复旦微、无人车、无人机技术）。</w:t>
            </w:r>
          </w:p>
        </w:tc>
        <w:tc>
          <w:tcPr>
            <w:tcW w:w="1394" w:type="dxa"/>
            <w:vMerge w:val="continue"/>
            <w:tcBorders>
              <w:left w:val="single" w:color="000000" w:sz="4" w:space="0"/>
              <w:right w:val="single" w:color="000000" w:sz="4" w:space="0"/>
            </w:tcBorders>
            <w:noWrap/>
            <w:vAlign w:val="center"/>
          </w:tcPr>
          <w:p w14:paraId="41AF6738">
            <w:pPr>
              <w:widowControl/>
              <w:textAlignment w:val="center"/>
              <w:rPr>
                <w:rFonts w:hint="eastAsia" w:ascii="宋体" w:hAnsi="宋体" w:cs="宋体"/>
                <w:color w:val="000000"/>
                <w:kern w:val="0"/>
                <w:sz w:val="22"/>
                <w:szCs w:val="22"/>
                <w:lang w:bidi="ar"/>
              </w:rPr>
            </w:pPr>
          </w:p>
        </w:tc>
      </w:tr>
      <w:tr w14:paraId="3A5A6B39">
        <w:tblPrEx>
          <w:tblCellMar>
            <w:top w:w="0" w:type="dxa"/>
            <w:left w:w="108" w:type="dxa"/>
            <w:bottom w:w="0" w:type="dxa"/>
            <w:right w:w="108" w:type="dxa"/>
          </w:tblCellMar>
        </w:tblPrEx>
        <w:trPr>
          <w:trHeight w:val="1080" w:hRule="atLeast"/>
          <w:tblHeader/>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8F396CB">
            <w:pPr>
              <w:widowControl/>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5</w:t>
            </w:r>
          </w:p>
        </w:tc>
        <w:tc>
          <w:tcPr>
            <w:tcW w:w="755" w:type="dxa"/>
            <w:vMerge w:val="continue"/>
            <w:tcBorders>
              <w:left w:val="single" w:color="000000" w:sz="4" w:space="0"/>
              <w:right w:val="single" w:color="000000" w:sz="4" w:space="0"/>
            </w:tcBorders>
            <w:noWrap w:val="0"/>
            <w:vAlign w:val="center"/>
          </w:tcPr>
          <w:p w14:paraId="3ACF80F1">
            <w:pPr>
              <w:jc w:val="left"/>
              <w:rPr>
                <w:rFonts w:hint="eastAsia" w:ascii="宋体" w:hAnsi="宋体" w:cs="宋体"/>
                <w:color w:val="000000"/>
                <w:szCs w:val="21"/>
              </w:rPr>
            </w:pPr>
          </w:p>
        </w:tc>
        <w:tc>
          <w:tcPr>
            <w:tcW w:w="1485" w:type="dxa"/>
            <w:vMerge w:val="continue"/>
            <w:tcBorders>
              <w:left w:val="single" w:color="000000" w:sz="4" w:space="0"/>
              <w:right w:val="single" w:color="000000" w:sz="4" w:space="0"/>
            </w:tcBorders>
            <w:noWrap/>
            <w:vAlign w:val="center"/>
          </w:tcPr>
          <w:p w14:paraId="518D8D57">
            <w:pPr>
              <w:widowControl/>
              <w:textAlignment w:val="center"/>
              <w:rPr>
                <w:rFonts w:hint="eastAsia" w:ascii="宋体" w:hAnsi="宋体" w:cs="宋体"/>
                <w:color w:val="000000"/>
                <w:szCs w:val="21"/>
              </w:rPr>
            </w:pP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6BFB30A9">
            <w:pPr>
              <w:widowControl/>
              <w:textAlignment w:val="center"/>
              <w:rPr>
                <w:rFonts w:hint="eastAsia" w:ascii="宋体" w:hAnsi="宋体" w:cs="宋体"/>
                <w:color w:val="000000"/>
                <w:kern w:val="0"/>
                <w:szCs w:val="21"/>
                <w:lang w:bidi="ar"/>
              </w:rPr>
            </w:pPr>
            <w:r>
              <w:rPr>
                <w:rFonts w:hint="eastAsia" w:ascii="宋体" w:hAnsi="宋体" w:cs="宋体"/>
                <w:color w:val="000000"/>
                <w:kern w:val="0"/>
                <w:sz w:val="21"/>
                <w:szCs w:val="21"/>
                <w:lang w:bidi="ar"/>
              </w:rPr>
              <w:t>空天地海网络相关解决方案相关技术：</w:t>
            </w:r>
            <w:r>
              <w:rPr>
                <w:rFonts w:hint="eastAsia" w:ascii="宋体" w:hAnsi="宋体" w:cs="宋体"/>
                <w:kern w:val="0"/>
                <w:sz w:val="21"/>
                <w:szCs w:val="21"/>
                <w:lang w:bidi="ar"/>
              </w:rPr>
              <w:t>包括数据处理芯片技术（FPGA、MCU、DPU、GPU、CPU）；射频芯片技术（mmw相控阵天线、各类终端天线、放大器）；5G专网设备；5G专网与卫星互联网衔接融合技术。</w:t>
            </w:r>
          </w:p>
        </w:tc>
        <w:tc>
          <w:tcPr>
            <w:tcW w:w="1394" w:type="dxa"/>
            <w:vMerge w:val="continue"/>
            <w:tcBorders>
              <w:left w:val="single" w:color="000000" w:sz="4" w:space="0"/>
              <w:right w:val="single" w:color="000000" w:sz="4" w:space="0"/>
            </w:tcBorders>
            <w:noWrap/>
            <w:vAlign w:val="center"/>
          </w:tcPr>
          <w:p w14:paraId="0042BC2B">
            <w:pPr>
              <w:widowControl/>
              <w:textAlignment w:val="center"/>
              <w:rPr>
                <w:rFonts w:hint="eastAsia" w:ascii="宋体" w:hAnsi="宋体" w:cs="宋体"/>
                <w:color w:val="000000"/>
                <w:kern w:val="0"/>
                <w:sz w:val="22"/>
                <w:szCs w:val="22"/>
                <w:lang w:bidi="ar"/>
              </w:rPr>
            </w:pPr>
          </w:p>
        </w:tc>
      </w:tr>
      <w:tr w14:paraId="5D9BC30F">
        <w:tblPrEx>
          <w:tblCellMar>
            <w:top w:w="0" w:type="dxa"/>
            <w:left w:w="108" w:type="dxa"/>
            <w:bottom w:w="0" w:type="dxa"/>
            <w:right w:w="108" w:type="dxa"/>
          </w:tblCellMar>
        </w:tblPrEx>
        <w:trPr>
          <w:trHeight w:val="500" w:hRule="atLeast"/>
          <w:tblHeader/>
          <w:jc w:val="center"/>
        </w:trPr>
        <w:tc>
          <w:tcPr>
            <w:tcW w:w="755" w:type="dxa"/>
            <w:tcBorders>
              <w:top w:val="single" w:color="000000" w:sz="4" w:space="0"/>
              <w:left w:val="single" w:color="000000" w:sz="4" w:space="0"/>
              <w:bottom w:val="single" w:color="auto" w:sz="4" w:space="0"/>
              <w:right w:val="single" w:color="000000" w:sz="4" w:space="0"/>
            </w:tcBorders>
            <w:noWrap/>
            <w:vAlign w:val="center"/>
          </w:tcPr>
          <w:p w14:paraId="2CCB8AF6">
            <w:pPr>
              <w:widowControl/>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w:t>
            </w:r>
          </w:p>
        </w:tc>
        <w:tc>
          <w:tcPr>
            <w:tcW w:w="755" w:type="dxa"/>
            <w:vMerge w:val="continue"/>
            <w:tcBorders>
              <w:left w:val="single" w:color="000000" w:sz="4" w:space="0"/>
              <w:right w:val="single" w:color="000000" w:sz="4" w:space="0"/>
            </w:tcBorders>
            <w:noWrap w:val="0"/>
            <w:vAlign w:val="center"/>
          </w:tcPr>
          <w:p w14:paraId="7650BC2F">
            <w:pPr>
              <w:jc w:val="left"/>
              <w:rPr>
                <w:rFonts w:hint="eastAsia" w:ascii="宋体" w:hAnsi="宋体" w:cs="宋体"/>
                <w:color w:val="000000"/>
                <w:szCs w:val="21"/>
              </w:rPr>
            </w:pPr>
          </w:p>
        </w:tc>
        <w:tc>
          <w:tcPr>
            <w:tcW w:w="1485" w:type="dxa"/>
            <w:vMerge w:val="continue"/>
            <w:tcBorders>
              <w:left w:val="single" w:color="000000" w:sz="4" w:space="0"/>
              <w:right w:val="single" w:color="000000" w:sz="4" w:space="0"/>
            </w:tcBorders>
            <w:noWrap/>
            <w:vAlign w:val="center"/>
          </w:tcPr>
          <w:p w14:paraId="3614BECD">
            <w:pPr>
              <w:widowControl/>
              <w:textAlignment w:val="center"/>
              <w:rPr>
                <w:rFonts w:hint="eastAsia" w:ascii="宋体" w:hAnsi="宋体" w:cs="宋体"/>
                <w:color w:val="000000"/>
                <w:szCs w:val="21"/>
              </w:rPr>
            </w:pPr>
          </w:p>
        </w:tc>
        <w:tc>
          <w:tcPr>
            <w:tcW w:w="6165" w:type="dxa"/>
            <w:tcBorders>
              <w:top w:val="single" w:color="000000" w:sz="4" w:space="0"/>
              <w:left w:val="single" w:color="000000" w:sz="4" w:space="0"/>
              <w:bottom w:val="single" w:color="auto" w:sz="4" w:space="0"/>
              <w:right w:val="single" w:color="000000" w:sz="4" w:space="0"/>
            </w:tcBorders>
            <w:noWrap/>
            <w:vAlign w:val="center"/>
          </w:tcPr>
          <w:p w14:paraId="513613D4">
            <w:pPr>
              <w:widowControl/>
              <w:textAlignment w:val="center"/>
              <w:rPr>
                <w:rFonts w:ascii="宋体" w:hAnsi="宋体" w:cs="宋体"/>
                <w:color w:val="000000"/>
                <w:kern w:val="0"/>
                <w:szCs w:val="21"/>
                <w:lang w:bidi="ar"/>
              </w:rPr>
            </w:pPr>
            <w:r>
              <w:rPr>
                <w:rFonts w:hint="eastAsia" w:ascii="宋体" w:hAnsi="宋体" w:cs="宋体"/>
                <w:color w:val="000000"/>
                <w:kern w:val="0"/>
                <w:sz w:val="21"/>
                <w:szCs w:val="21"/>
                <w:lang w:bidi="ar"/>
              </w:rPr>
              <w:t>5G+数字孪生与3D点云应用相关</w:t>
            </w:r>
            <w:r>
              <w:rPr>
                <w:rFonts w:hint="eastAsia" w:ascii="宋体" w:hAnsi="宋体" w:cs="宋体"/>
                <w:color w:val="000000"/>
                <w:kern w:val="0"/>
                <w:szCs w:val="21"/>
                <w:lang w:bidi="ar"/>
              </w:rPr>
              <w:t>芯片、器件、软件和整机技术。</w:t>
            </w:r>
          </w:p>
        </w:tc>
        <w:tc>
          <w:tcPr>
            <w:tcW w:w="1394" w:type="dxa"/>
            <w:vMerge w:val="continue"/>
            <w:tcBorders>
              <w:left w:val="single" w:color="000000" w:sz="4" w:space="0"/>
              <w:right w:val="single" w:color="000000" w:sz="4" w:space="0"/>
            </w:tcBorders>
            <w:noWrap/>
            <w:vAlign w:val="center"/>
          </w:tcPr>
          <w:p w14:paraId="3C0697FD">
            <w:pPr>
              <w:widowControl/>
              <w:textAlignment w:val="center"/>
              <w:rPr>
                <w:rFonts w:hint="eastAsia" w:ascii="宋体" w:hAnsi="宋体" w:cs="宋体"/>
                <w:color w:val="000000"/>
                <w:kern w:val="0"/>
                <w:sz w:val="22"/>
                <w:szCs w:val="22"/>
                <w:lang w:bidi="ar"/>
              </w:rPr>
            </w:pPr>
          </w:p>
        </w:tc>
      </w:tr>
      <w:tr w14:paraId="2A52D2C2">
        <w:tblPrEx>
          <w:tblCellMar>
            <w:top w:w="0" w:type="dxa"/>
            <w:left w:w="108" w:type="dxa"/>
            <w:bottom w:w="0" w:type="dxa"/>
            <w:right w:w="108" w:type="dxa"/>
          </w:tblCellMar>
        </w:tblPrEx>
        <w:trPr>
          <w:trHeight w:val="90" w:hRule="atLeast"/>
          <w:tblHeader/>
          <w:jc w:val="center"/>
        </w:trPr>
        <w:tc>
          <w:tcPr>
            <w:tcW w:w="755" w:type="dxa"/>
            <w:tcBorders>
              <w:top w:val="single" w:color="auto" w:sz="4" w:space="0"/>
              <w:left w:val="single" w:color="auto" w:sz="4" w:space="0"/>
              <w:bottom w:val="single" w:color="auto" w:sz="4" w:space="0"/>
              <w:right w:val="single" w:color="000000" w:sz="4" w:space="0"/>
            </w:tcBorders>
            <w:noWrap/>
            <w:vAlign w:val="center"/>
          </w:tcPr>
          <w:p w14:paraId="7A6735AD">
            <w:pPr>
              <w:widowControl/>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7</w:t>
            </w:r>
          </w:p>
        </w:tc>
        <w:tc>
          <w:tcPr>
            <w:tcW w:w="755" w:type="dxa"/>
            <w:vMerge w:val="continue"/>
            <w:tcBorders>
              <w:left w:val="single" w:color="000000" w:sz="4" w:space="0"/>
              <w:bottom w:val="single" w:color="auto" w:sz="4" w:space="0"/>
              <w:right w:val="single" w:color="000000" w:sz="4" w:space="0"/>
            </w:tcBorders>
            <w:noWrap w:val="0"/>
            <w:vAlign w:val="center"/>
          </w:tcPr>
          <w:p w14:paraId="2DC3EB78">
            <w:pPr>
              <w:jc w:val="left"/>
              <w:rPr>
                <w:rFonts w:hint="eastAsia" w:ascii="宋体" w:hAnsi="宋体" w:cs="宋体"/>
                <w:color w:val="000000"/>
                <w:szCs w:val="21"/>
              </w:rPr>
            </w:pPr>
          </w:p>
        </w:tc>
        <w:tc>
          <w:tcPr>
            <w:tcW w:w="1485" w:type="dxa"/>
            <w:vMerge w:val="continue"/>
            <w:tcBorders>
              <w:left w:val="single" w:color="000000" w:sz="4" w:space="0"/>
              <w:bottom w:val="single" w:color="auto" w:sz="4" w:space="0"/>
              <w:right w:val="single" w:color="000000" w:sz="4" w:space="0"/>
            </w:tcBorders>
            <w:noWrap/>
            <w:vAlign w:val="center"/>
          </w:tcPr>
          <w:p w14:paraId="1F541B53">
            <w:pPr>
              <w:widowControl/>
              <w:textAlignment w:val="center"/>
              <w:rPr>
                <w:rFonts w:hint="eastAsia" w:ascii="宋体" w:hAnsi="宋体" w:cs="宋体"/>
                <w:color w:val="000000"/>
                <w:szCs w:val="21"/>
              </w:rPr>
            </w:pPr>
          </w:p>
        </w:tc>
        <w:tc>
          <w:tcPr>
            <w:tcW w:w="6165" w:type="dxa"/>
            <w:tcBorders>
              <w:top w:val="single" w:color="auto" w:sz="4" w:space="0"/>
              <w:left w:val="single" w:color="000000" w:sz="4" w:space="0"/>
              <w:bottom w:val="single" w:color="auto" w:sz="4" w:space="0"/>
              <w:right w:val="single" w:color="auto" w:sz="4" w:space="0"/>
            </w:tcBorders>
            <w:noWrap/>
            <w:vAlign w:val="center"/>
          </w:tcPr>
          <w:p w14:paraId="22771C7F">
            <w:pPr>
              <w:widowControl/>
              <w:textAlignment w:val="center"/>
              <w:rPr>
                <w:rFonts w:hint="eastAsia" w:ascii="宋体" w:hAnsi="宋体" w:cs="宋体"/>
                <w:color w:val="000000"/>
                <w:kern w:val="0"/>
                <w:szCs w:val="21"/>
                <w:lang w:bidi="ar"/>
              </w:rPr>
            </w:pPr>
            <w:r>
              <w:rPr>
                <w:rFonts w:hint="eastAsia" w:ascii="宋体" w:hAnsi="宋体" w:cs="宋体"/>
                <w:color w:val="000000"/>
                <w:kern w:val="0"/>
                <w:sz w:val="21"/>
                <w:szCs w:val="21"/>
                <w:lang w:bidi="ar"/>
              </w:rPr>
              <w:t>5G+XR解决方案相关</w:t>
            </w:r>
            <w:r>
              <w:rPr>
                <w:rFonts w:hint="eastAsia" w:ascii="宋体" w:hAnsi="宋体" w:cs="宋体"/>
                <w:color w:val="000000"/>
                <w:kern w:val="0"/>
                <w:szCs w:val="21"/>
                <w:lang w:bidi="ar"/>
              </w:rPr>
              <w:t>芯片、器件、软件和整机技术。</w:t>
            </w:r>
          </w:p>
        </w:tc>
        <w:tc>
          <w:tcPr>
            <w:tcW w:w="1394" w:type="dxa"/>
            <w:vMerge w:val="continue"/>
            <w:tcBorders>
              <w:left w:val="single" w:color="000000" w:sz="4" w:space="0"/>
              <w:bottom w:val="single" w:color="auto" w:sz="4" w:space="0"/>
              <w:right w:val="single" w:color="000000" w:sz="4" w:space="0"/>
            </w:tcBorders>
            <w:noWrap/>
            <w:vAlign w:val="center"/>
          </w:tcPr>
          <w:p w14:paraId="247B2F64">
            <w:pPr>
              <w:widowControl/>
              <w:textAlignment w:val="center"/>
              <w:rPr>
                <w:rFonts w:hint="eastAsia" w:ascii="宋体" w:hAnsi="宋体" w:cs="宋体"/>
                <w:color w:val="000000"/>
                <w:kern w:val="0"/>
                <w:sz w:val="22"/>
                <w:szCs w:val="22"/>
                <w:lang w:bidi="ar"/>
              </w:rPr>
            </w:pPr>
          </w:p>
        </w:tc>
      </w:tr>
      <w:tr w14:paraId="04AA9DE2">
        <w:tblPrEx>
          <w:tblCellMar>
            <w:top w:w="0" w:type="dxa"/>
            <w:left w:w="108" w:type="dxa"/>
            <w:bottom w:w="0" w:type="dxa"/>
            <w:right w:w="108" w:type="dxa"/>
          </w:tblCellMar>
        </w:tblPrEx>
        <w:trPr>
          <w:trHeight w:val="984"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35478806">
            <w:pPr>
              <w:widowControl/>
              <w:jc w:val="center"/>
              <w:textAlignment w:val="center"/>
              <w:rPr>
                <w:rFonts w:hint="eastAsia" w:ascii="宋体" w:hAnsi="宋体" w:cs="宋体"/>
                <w:color w:val="000000"/>
                <w:szCs w:val="21"/>
              </w:rPr>
            </w:pPr>
            <w:r>
              <w:rPr>
                <w:rFonts w:hint="eastAsia" w:ascii="宋体" w:hAnsi="宋体" w:cs="宋体"/>
                <w:color w:val="000000"/>
                <w:kern w:val="0"/>
                <w:szCs w:val="21"/>
                <w:lang w:bidi="ar"/>
              </w:rPr>
              <w:t>1</w:t>
            </w:r>
          </w:p>
        </w:tc>
        <w:tc>
          <w:tcPr>
            <w:tcW w:w="755" w:type="dxa"/>
            <w:vMerge w:val="restart"/>
            <w:tcBorders>
              <w:top w:val="single" w:color="000000" w:sz="4" w:space="0"/>
              <w:left w:val="single" w:color="000000" w:sz="4" w:space="0"/>
              <w:bottom w:val="single" w:color="000000" w:sz="4" w:space="0"/>
              <w:right w:val="single" w:color="000000" w:sz="4" w:space="0"/>
            </w:tcBorders>
            <w:noWrap/>
            <w:vAlign w:val="center"/>
          </w:tcPr>
          <w:p w14:paraId="3B275B03">
            <w:pPr>
              <w:widowControl/>
              <w:jc w:val="center"/>
              <w:textAlignment w:val="center"/>
              <w:rPr>
                <w:rFonts w:hint="eastAsia" w:ascii="宋体" w:hAnsi="宋体" w:cs="宋体"/>
                <w:color w:val="000000"/>
                <w:szCs w:val="21"/>
              </w:rPr>
            </w:pPr>
            <w:r>
              <w:rPr>
                <w:rFonts w:hint="eastAsia" w:ascii="宋体" w:hAnsi="宋体" w:cs="宋体"/>
                <w:color w:val="000000"/>
                <w:szCs w:val="21"/>
              </w:rPr>
              <w:t>智慧城市</w:t>
            </w:r>
          </w:p>
          <w:p w14:paraId="5FDDB5E7">
            <w:pPr>
              <w:widowControl/>
              <w:jc w:val="center"/>
              <w:textAlignment w:val="center"/>
              <w:rPr>
                <w:rFonts w:hint="eastAsia" w:ascii="宋体" w:hAnsi="宋体" w:cs="宋体"/>
                <w:color w:val="000000"/>
                <w:szCs w:val="21"/>
              </w:rPr>
            </w:pPr>
            <w:r>
              <w:rPr>
                <w:rFonts w:hint="eastAsia" w:ascii="宋体" w:hAnsi="宋体" w:eastAsia="宋体" w:cs="宋体"/>
                <w:color w:val="000000"/>
                <w:sz w:val="21"/>
                <w:szCs w:val="21"/>
                <w:u w:val="none"/>
                <w:lang w:eastAsia="zh-CN" w:bidi="ar"/>
              </w:rPr>
              <w:t>（</w:t>
            </w:r>
            <w:r>
              <w:rPr>
                <w:rFonts w:hint="eastAsia" w:ascii="宋体" w:hAnsi="宋体" w:eastAsia="宋体" w:cs="宋体"/>
                <w:color w:val="000000"/>
                <w:sz w:val="21"/>
                <w:szCs w:val="21"/>
                <w:u w:val="none"/>
                <w:lang w:val="en-US" w:eastAsia="zh-CN" w:bidi="ar"/>
              </w:rPr>
              <w:t>咨询电话：</w:t>
            </w:r>
            <w:r>
              <w:rPr>
                <w:rFonts w:hint="eastAsia" w:ascii="宋体" w:hAnsi="宋体" w:eastAsia="宋体" w:cs="宋体"/>
                <w:color w:val="000000"/>
                <w:sz w:val="21"/>
                <w:szCs w:val="21"/>
                <w:u w:val="none"/>
                <w:lang w:bidi="ar"/>
              </w:rPr>
              <w:t>6</w:t>
            </w:r>
            <w:r>
              <w:rPr>
                <w:rFonts w:hint="eastAsia" w:ascii="宋体" w:hAnsi="宋体" w:cs="宋体"/>
                <w:color w:val="000000"/>
                <w:sz w:val="21"/>
                <w:szCs w:val="21"/>
                <w:u w:val="none"/>
                <w:lang w:val="en-US" w:eastAsia="zh-CN" w:bidi="ar"/>
              </w:rPr>
              <w:t>6</w:t>
            </w:r>
            <w:r>
              <w:rPr>
                <w:rFonts w:hint="eastAsia" w:ascii="宋体" w:hAnsi="宋体" w:eastAsia="宋体" w:cs="宋体"/>
                <w:color w:val="000000"/>
                <w:sz w:val="21"/>
                <w:szCs w:val="21"/>
                <w:u w:val="none"/>
                <w:lang w:bidi="ar"/>
              </w:rPr>
              <w:t>159316-810</w:t>
            </w:r>
            <w:r>
              <w:rPr>
                <w:rFonts w:hint="eastAsia" w:ascii="宋体" w:hAnsi="宋体" w:eastAsia="宋体" w:cs="宋体"/>
                <w:color w:val="000000"/>
                <w:sz w:val="21"/>
                <w:szCs w:val="21"/>
                <w:u w:val="none"/>
                <w:lang w:eastAsia="zh-CN" w:bidi="ar"/>
              </w:rPr>
              <w:t>）</w:t>
            </w: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4A47B39D">
            <w:pPr>
              <w:widowControl/>
              <w:textAlignment w:val="center"/>
              <w:rPr>
                <w:rFonts w:ascii="宋体" w:hAnsi="宋体" w:cs="宋体"/>
                <w:color w:val="000000"/>
                <w:szCs w:val="21"/>
              </w:rPr>
            </w:pPr>
            <w:r>
              <w:rPr>
                <w:rFonts w:hint="eastAsia" w:ascii="宋体" w:hAnsi="宋体" w:cs="宋体"/>
                <w:color w:val="000000"/>
                <w:kern w:val="0"/>
                <w:szCs w:val="21"/>
                <w:lang w:bidi="ar"/>
              </w:rPr>
              <w:t>应急领域信息化技术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1035120C">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自然灾害监测预警信息化工程相关要求的低成本高效能的前端智能感知装备技术。</w:t>
            </w:r>
          </w:p>
        </w:tc>
        <w:tc>
          <w:tcPr>
            <w:tcW w:w="1394" w:type="dxa"/>
            <w:vMerge w:val="restart"/>
            <w:tcBorders>
              <w:top w:val="single" w:color="000000" w:sz="4" w:space="0"/>
              <w:left w:val="single" w:color="000000" w:sz="4" w:space="0"/>
              <w:right w:val="single" w:color="000000" w:sz="4" w:space="0"/>
            </w:tcBorders>
            <w:noWrap/>
            <w:vAlign w:val="center"/>
          </w:tcPr>
          <w:p w14:paraId="63DDBB1B">
            <w:pPr>
              <w:widowControl/>
              <w:textAlignment w:val="center"/>
              <w:rPr>
                <w:rFonts w:ascii="宋体" w:hAnsi="宋体" w:cs="宋体"/>
                <w:color w:val="000000"/>
                <w:kern w:val="0"/>
                <w:szCs w:val="21"/>
                <w:lang w:bidi="ar"/>
              </w:rPr>
            </w:pPr>
            <w:r>
              <w:rPr>
                <w:rFonts w:hint="eastAsia" w:ascii="宋体" w:hAnsi="宋体" w:cs="宋体"/>
                <w:color w:val="000000"/>
                <w:kern w:val="0"/>
                <w:szCs w:val="21"/>
                <w:lang w:bidi="ar"/>
              </w:rPr>
              <w:t>市应急局</w:t>
            </w:r>
          </w:p>
        </w:tc>
      </w:tr>
      <w:tr w14:paraId="3B384203">
        <w:tblPrEx>
          <w:tblCellMar>
            <w:top w:w="0" w:type="dxa"/>
            <w:left w:w="108" w:type="dxa"/>
            <w:bottom w:w="0" w:type="dxa"/>
            <w:right w:w="108" w:type="dxa"/>
          </w:tblCellMar>
        </w:tblPrEx>
        <w:trPr>
          <w:trHeight w:val="904"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3EEB932F">
            <w:pPr>
              <w:widowControl/>
              <w:jc w:val="center"/>
              <w:textAlignment w:val="center"/>
              <w:rPr>
                <w:rFonts w:hint="eastAsia" w:ascii="宋体" w:hAnsi="宋体" w:cs="宋体"/>
                <w:color w:val="000000"/>
                <w:szCs w:val="21"/>
              </w:rPr>
            </w:pPr>
            <w:r>
              <w:rPr>
                <w:rFonts w:hint="eastAsia" w:ascii="宋体" w:hAnsi="宋体" w:cs="宋体"/>
                <w:color w:val="000000"/>
                <w:kern w:val="0"/>
                <w:szCs w:val="21"/>
                <w:lang w:bidi="ar"/>
              </w:rPr>
              <w:t>2</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23BBB0C6">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3FE46633">
            <w:pPr>
              <w:widowControl/>
              <w:textAlignment w:val="center"/>
              <w:rPr>
                <w:rFonts w:ascii="宋体" w:hAnsi="宋体" w:cs="宋体"/>
                <w:color w:val="000000"/>
                <w:szCs w:val="21"/>
              </w:rPr>
            </w:pPr>
            <w:r>
              <w:rPr>
                <w:rFonts w:hint="eastAsia" w:ascii="宋体" w:hAnsi="宋体" w:cs="宋体"/>
                <w:color w:val="000000"/>
                <w:kern w:val="0"/>
                <w:szCs w:val="21"/>
                <w:lang w:bidi="ar"/>
              </w:rPr>
              <w:t>新型智慧城市感知技术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1796EA28">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满足城市安全发展需要的加油站视频监控和物联感知算法及前端传感装备技术。</w:t>
            </w:r>
          </w:p>
        </w:tc>
        <w:tc>
          <w:tcPr>
            <w:tcW w:w="1394" w:type="dxa"/>
            <w:vMerge w:val="continue"/>
            <w:tcBorders>
              <w:left w:val="single" w:color="000000" w:sz="4" w:space="0"/>
              <w:right w:val="single" w:color="000000" w:sz="4" w:space="0"/>
            </w:tcBorders>
            <w:noWrap/>
            <w:vAlign w:val="center"/>
          </w:tcPr>
          <w:p w14:paraId="1B07E4F7">
            <w:pPr>
              <w:widowControl/>
              <w:textAlignment w:val="center"/>
              <w:rPr>
                <w:rFonts w:hint="eastAsia" w:ascii="宋体" w:hAnsi="宋体" w:cs="宋体"/>
                <w:color w:val="000000"/>
                <w:kern w:val="0"/>
                <w:szCs w:val="21"/>
                <w:lang w:bidi="ar"/>
              </w:rPr>
            </w:pPr>
          </w:p>
        </w:tc>
      </w:tr>
      <w:tr w14:paraId="587AECFC">
        <w:tblPrEx>
          <w:tblCellMar>
            <w:top w:w="0" w:type="dxa"/>
            <w:left w:w="108" w:type="dxa"/>
            <w:bottom w:w="0" w:type="dxa"/>
            <w:right w:w="108" w:type="dxa"/>
          </w:tblCellMar>
        </w:tblPrEx>
        <w:trPr>
          <w:trHeight w:val="844"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26D6ABF3">
            <w:pPr>
              <w:widowControl/>
              <w:jc w:val="center"/>
              <w:textAlignment w:val="center"/>
              <w:rPr>
                <w:rFonts w:hint="eastAsia" w:ascii="宋体" w:hAnsi="宋体" w:cs="宋体"/>
                <w:color w:val="000000"/>
                <w:szCs w:val="21"/>
              </w:rPr>
            </w:pPr>
            <w:r>
              <w:rPr>
                <w:rFonts w:hint="eastAsia" w:ascii="宋体" w:hAnsi="宋体" w:cs="宋体"/>
                <w:color w:val="000000"/>
                <w:kern w:val="0"/>
                <w:szCs w:val="21"/>
                <w:lang w:bidi="ar"/>
              </w:rPr>
              <w:t>3</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7DA25898">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178DF14F">
            <w:pPr>
              <w:widowControl/>
              <w:textAlignment w:val="center"/>
              <w:rPr>
                <w:rFonts w:ascii="宋体" w:hAnsi="宋体" w:cs="宋体"/>
                <w:color w:val="000000"/>
                <w:szCs w:val="21"/>
              </w:rPr>
            </w:pPr>
            <w:r>
              <w:rPr>
                <w:rFonts w:hint="eastAsia" w:ascii="宋体" w:hAnsi="宋体" w:cs="宋体"/>
                <w:color w:val="000000"/>
                <w:kern w:val="0"/>
                <w:szCs w:val="21"/>
                <w:lang w:bidi="ar"/>
              </w:rPr>
              <w:t>森林灭火信息化技术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0A94BFF">
            <w:pPr>
              <w:widowControl/>
              <w:textAlignment w:val="center"/>
              <w:rPr>
                <w:rFonts w:hint="eastAsia" w:ascii="宋体" w:hAnsi="宋体" w:cs="宋体"/>
                <w:color w:val="000000"/>
                <w:szCs w:val="21"/>
              </w:rPr>
            </w:pPr>
            <w:r>
              <w:rPr>
                <w:rFonts w:hint="eastAsia" w:ascii="宋体" w:hAnsi="宋体" w:cs="宋体"/>
                <w:color w:val="000000"/>
                <w:kern w:val="0"/>
                <w:szCs w:val="21"/>
                <w:lang w:bidi="ar"/>
              </w:rPr>
              <w:t>适用于本市森林灭火指挥作战的融合通信技术及配套装备技术。</w:t>
            </w:r>
          </w:p>
        </w:tc>
        <w:tc>
          <w:tcPr>
            <w:tcW w:w="1394" w:type="dxa"/>
            <w:vMerge w:val="continue"/>
            <w:tcBorders>
              <w:left w:val="single" w:color="000000" w:sz="4" w:space="0"/>
              <w:right w:val="single" w:color="000000" w:sz="4" w:space="0"/>
            </w:tcBorders>
            <w:noWrap/>
            <w:vAlign w:val="center"/>
          </w:tcPr>
          <w:p w14:paraId="400C6B73">
            <w:pPr>
              <w:widowControl/>
              <w:textAlignment w:val="center"/>
              <w:rPr>
                <w:rFonts w:hint="eastAsia" w:ascii="宋体" w:hAnsi="宋体" w:cs="宋体"/>
                <w:color w:val="000000"/>
                <w:kern w:val="0"/>
                <w:szCs w:val="21"/>
                <w:lang w:bidi="ar"/>
              </w:rPr>
            </w:pPr>
          </w:p>
        </w:tc>
      </w:tr>
      <w:tr w14:paraId="11437E35">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4F984249">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1</w:t>
            </w:r>
          </w:p>
        </w:tc>
        <w:tc>
          <w:tcPr>
            <w:tcW w:w="755" w:type="dxa"/>
            <w:vMerge w:val="restart"/>
            <w:tcBorders>
              <w:top w:val="single" w:color="000000" w:sz="4" w:space="0"/>
              <w:left w:val="single" w:color="000000" w:sz="4" w:space="0"/>
              <w:bottom w:val="single" w:color="000000" w:sz="4" w:space="0"/>
              <w:right w:val="single" w:color="000000" w:sz="4" w:space="0"/>
            </w:tcBorders>
            <w:noWrap/>
            <w:vAlign w:val="center"/>
          </w:tcPr>
          <w:p w14:paraId="600C7A34">
            <w:pPr>
              <w:keepNext w:val="0"/>
              <w:keepLines w:val="0"/>
              <w:widowControl/>
              <w:suppressLineNumbers w:val="0"/>
              <w:jc w:val="center"/>
              <w:textAlignment w:val="center"/>
              <w:rPr>
                <w:rFonts w:hint="eastAsia" w:ascii="宋体" w:hAnsi="宋体" w:eastAsia="宋体" w:cs="宋体"/>
                <w:i w:val="0"/>
                <w:color w:val="000000"/>
                <w:kern w:val="2"/>
                <w:sz w:val="21"/>
                <w:szCs w:val="21"/>
                <w:u w:val="none"/>
                <w:lang w:val="en-US" w:eastAsia="zh-CN" w:bidi="ar"/>
              </w:rPr>
            </w:pPr>
            <w:r>
              <w:rPr>
                <w:rFonts w:hint="eastAsia" w:ascii="宋体" w:hAnsi="宋体" w:eastAsia="宋体" w:cs="宋体"/>
                <w:i w:val="0"/>
                <w:color w:val="000000"/>
                <w:kern w:val="2"/>
                <w:sz w:val="21"/>
                <w:szCs w:val="21"/>
                <w:u w:val="none"/>
                <w:lang w:val="en-US" w:eastAsia="zh-CN" w:bidi="ar"/>
              </w:rPr>
              <w:t>生态环保领域</w:t>
            </w:r>
          </w:p>
          <w:p w14:paraId="6DAAFD0A">
            <w:pPr>
              <w:keepNext w:val="0"/>
              <w:keepLines w:val="0"/>
              <w:widowControl/>
              <w:suppressLineNumbers w:val="0"/>
              <w:jc w:val="center"/>
              <w:textAlignment w:val="center"/>
              <w:rPr>
                <w:rFonts w:hint="eastAsia" w:ascii="宋体" w:hAnsi="宋体" w:eastAsia="宋体" w:cs="宋体"/>
                <w:color w:val="000000"/>
                <w:szCs w:val="21"/>
                <w:lang w:bidi="ar"/>
              </w:rPr>
            </w:pPr>
            <w:r>
              <w:rPr>
                <w:rFonts w:hint="eastAsia" w:ascii="宋体" w:hAnsi="宋体" w:eastAsia="宋体" w:cs="宋体"/>
                <w:color w:val="000000"/>
                <w:sz w:val="21"/>
                <w:szCs w:val="21"/>
                <w:u w:val="none"/>
                <w:lang w:eastAsia="zh-CN" w:bidi="ar"/>
              </w:rPr>
              <w:t>（</w:t>
            </w:r>
            <w:r>
              <w:rPr>
                <w:rFonts w:hint="eastAsia" w:ascii="宋体" w:hAnsi="宋体" w:eastAsia="宋体" w:cs="宋体"/>
                <w:color w:val="000000"/>
                <w:sz w:val="21"/>
                <w:szCs w:val="21"/>
                <w:u w:val="none"/>
                <w:lang w:val="en-US" w:eastAsia="zh-CN" w:bidi="ar"/>
              </w:rPr>
              <w:t>咨询电话：</w:t>
            </w:r>
            <w:r>
              <w:rPr>
                <w:rFonts w:hint="eastAsia" w:ascii="宋体" w:hAnsi="宋体" w:eastAsia="宋体" w:cs="宋体"/>
                <w:color w:val="000000"/>
                <w:sz w:val="21"/>
                <w:szCs w:val="21"/>
                <w:u w:val="none"/>
                <w:lang w:bidi="ar"/>
              </w:rPr>
              <w:t>6</w:t>
            </w:r>
            <w:r>
              <w:rPr>
                <w:rFonts w:hint="eastAsia" w:ascii="宋体" w:hAnsi="宋体" w:cs="宋体"/>
                <w:color w:val="000000"/>
                <w:sz w:val="21"/>
                <w:szCs w:val="21"/>
                <w:u w:val="none"/>
                <w:lang w:val="en-US" w:eastAsia="zh-CN" w:bidi="ar"/>
              </w:rPr>
              <w:t>6</w:t>
            </w:r>
            <w:r>
              <w:rPr>
                <w:rFonts w:hint="eastAsia" w:ascii="宋体" w:hAnsi="宋体" w:eastAsia="宋体" w:cs="宋体"/>
                <w:color w:val="000000"/>
                <w:sz w:val="21"/>
                <w:szCs w:val="21"/>
                <w:u w:val="none"/>
                <w:lang w:bidi="ar"/>
              </w:rPr>
              <w:t>159316-810</w:t>
            </w:r>
            <w:r>
              <w:rPr>
                <w:rFonts w:hint="eastAsia" w:ascii="宋体" w:hAnsi="宋体" w:eastAsia="宋体" w:cs="宋体"/>
                <w:color w:val="000000"/>
                <w:sz w:val="21"/>
                <w:szCs w:val="21"/>
                <w:u w:val="none"/>
                <w:lang w:eastAsia="zh-CN" w:bidi="ar"/>
              </w:rPr>
              <w:t>）</w:t>
            </w: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72653794">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污染源管理领域装备技术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35B9342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1.污染治理设施运行监控技术及设备；</w:t>
            </w:r>
          </w:p>
          <w:p w14:paraId="75C3031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2.企业大气污染物排放情况预测预警及风险识别技术；</w:t>
            </w:r>
          </w:p>
          <w:p w14:paraId="24CD576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3.地下水污染在线监测监控技术及设备；</w:t>
            </w:r>
          </w:p>
          <w:p w14:paraId="11ADC3A0">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4.水中标志性污染物识别追溯技术及相关监控设备。</w:t>
            </w:r>
          </w:p>
        </w:tc>
        <w:tc>
          <w:tcPr>
            <w:tcW w:w="1394" w:type="dxa"/>
            <w:vMerge w:val="restart"/>
            <w:tcBorders>
              <w:left w:val="single" w:color="000000" w:sz="4" w:space="0"/>
              <w:right w:val="single" w:color="000000" w:sz="4" w:space="0"/>
            </w:tcBorders>
            <w:noWrap/>
            <w:vAlign w:val="center"/>
          </w:tcPr>
          <w:p w14:paraId="220DD827">
            <w:pPr>
              <w:keepNext w:val="0"/>
              <w:keepLines w:val="0"/>
              <w:widowControl/>
              <w:suppressLineNumbers w:val="0"/>
              <w:jc w:val="center"/>
              <w:textAlignment w:val="center"/>
              <w:rPr>
                <w:rFonts w:hint="default" w:ascii="宋体" w:hAnsi="宋体" w:cs="宋体"/>
                <w:color w:val="000000"/>
                <w:kern w:val="0"/>
                <w:szCs w:val="21"/>
                <w:lang w:val="en-US" w:bidi="ar"/>
              </w:rPr>
            </w:pPr>
            <w:r>
              <w:rPr>
                <w:rFonts w:hint="eastAsia" w:ascii="宋体" w:hAnsi="宋体" w:eastAsia="宋体" w:cs="宋体"/>
                <w:i w:val="0"/>
                <w:color w:val="000000"/>
                <w:kern w:val="0"/>
                <w:sz w:val="24"/>
                <w:szCs w:val="24"/>
                <w:u w:val="none"/>
                <w:lang w:val="en-US" w:eastAsia="zh-CN" w:bidi="ar"/>
              </w:rPr>
              <w:t>市</w:t>
            </w:r>
            <w:r>
              <w:rPr>
                <w:rFonts w:hint="eastAsia" w:ascii="宋体" w:hAnsi="宋体" w:cs="宋体"/>
                <w:i w:val="0"/>
                <w:color w:val="000000"/>
                <w:kern w:val="0"/>
                <w:sz w:val="24"/>
                <w:szCs w:val="24"/>
                <w:u w:val="none"/>
                <w:lang w:val="en-US" w:eastAsia="zh-CN" w:bidi="ar"/>
              </w:rPr>
              <w:t>生态环境局</w:t>
            </w:r>
          </w:p>
        </w:tc>
      </w:tr>
      <w:tr w14:paraId="587C1FFF">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4060E8D">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2</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52B3A695">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5EDC98F8">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水环境分析技术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239A7A0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目前水环境分析主要以监测数据的简单分析为主，欠缺数据深度挖掘能力以及根据数据模拟预测水环境状况的能力。为提高监测数据应用价值和应对突发污染事件的水平，需建立以大数据为基础的水环境污染风险预测预警及规划能力：1.数据深度分析：应用大数据人工智能等先进技术，融合多源数据，深度挖掘数据价值，探究环境数据背后隐藏的规律；</w:t>
            </w:r>
          </w:p>
          <w:p w14:paraId="72CF9027">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2.地表水模拟预测：模拟水动力、水质变化情况和污染物迁移变化规律，针对异常状况实时预报预警，及时对下游河段水质响应状况进行预判，并在此基础上设置多种场景模拟水环境变化情况，用以支撑水环境管理决策；</w:t>
            </w:r>
          </w:p>
        </w:tc>
        <w:tc>
          <w:tcPr>
            <w:tcW w:w="1394" w:type="dxa"/>
            <w:vMerge w:val="continue"/>
            <w:tcBorders>
              <w:left w:val="single" w:color="000000" w:sz="4" w:space="0"/>
              <w:right w:val="single" w:color="000000" w:sz="4" w:space="0"/>
            </w:tcBorders>
            <w:noWrap/>
            <w:vAlign w:val="center"/>
          </w:tcPr>
          <w:p w14:paraId="273986F4">
            <w:pPr>
              <w:jc w:val="center"/>
              <w:rPr>
                <w:rFonts w:hint="eastAsia" w:ascii="宋体" w:hAnsi="宋体" w:cs="宋体"/>
                <w:color w:val="000000"/>
                <w:kern w:val="0"/>
                <w:szCs w:val="21"/>
                <w:lang w:bidi="ar"/>
              </w:rPr>
            </w:pPr>
          </w:p>
        </w:tc>
      </w:tr>
      <w:tr w14:paraId="5D45A77C">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9759EA8">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3</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06FCA245">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74C71B7D">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新型智慧城市感知体系建设城市声环境监测技术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1C58293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1.满足小型化低成本便于高密网络布点建设的声环境自动监测设备；</w:t>
            </w:r>
          </w:p>
          <w:p w14:paraId="1E5EF1A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2.开发融合具备声源方向及虫鸣鸟叫等声源类型识别的智能噪声感知设备；</w:t>
            </w:r>
          </w:p>
          <w:p w14:paraId="3A7D57EC">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3.开发城市动态展示声环境监测领域智慧型噪声地图</w:t>
            </w:r>
          </w:p>
        </w:tc>
        <w:tc>
          <w:tcPr>
            <w:tcW w:w="1394" w:type="dxa"/>
            <w:vMerge w:val="continue"/>
            <w:tcBorders>
              <w:left w:val="single" w:color="000000" w:sz="4" w:space="0"/>
              <w:right w:val="single" w:color="000000" w:sz="4" w:space="0"/>
            </w:tcBorders>
            <w:noWrap/>
            <w:vAlign w:val="center"/>
          </w:tcPr>
          <w:p w14:paraId="3FE5EDA9">
            <w:pPr>
              <w:jc w:val="center"/>
              <w:rPr>
                <w:rFonts w:hint="eastAsia" w:ascii="宋体" w:hAnsi="宋体" w:cs="宋体"/>
                <w:color w:val="000000"/>
                <w:kern w:val="0"/>
                <w:szCs w:val="21"/>
                <w:lang w:bidi="ar"/>
              </w:rPr>
            </w:pPr>
          </w:p>
        </w:tc>
      </w:tr>
      <w:tr w14:paraId="5E2625E7">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69A70C4">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4</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09F11433">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3AC0050D">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生态质量监测技术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23904A3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满足本市生态质量状况监测需求（植被地表生物量监测）的低成本高精度智能监测技术及配套装备。</w:t>
            </w:r>
          </w:p>
          <w:p w14:paraId="20C995E0">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满足本市植被碳汇能力监测需求的智能监测技术及配套装备。</w:t>
            </w:r>
          </w:p>
        </w:tc>
        <w:tc>
          <w:tcPr>
            <w:tcW w:w="1394" w:type="dxa"/>
            <w:vMerge w:val="continue"/>
            <w:tcBorders>
              <w:left w:val="single" w:color="000000" w:sz="4" w:space="0"/>
              <w:right w:val="single" w:color="000000" w:sz="4" w:space="0"/>
            </w:tcBorders>
            <w:noWrap/>
            <w:vAlign w:val="center"/>
          </w:tcPr>
          <w:p w14:paraId="6110D65D">
            <w:pPr>
              <w:jc w:val="center"/>
              <w:rPr>
                <w:rFonts w:hint="eastAsia" w:ascii="宋体" w:hAnsi="宋体" w:cs="宋体"/>
                <w:color w:val="000000"/>
                <w:kern w:val="0"/>
                <w:szCs w:val="21"/>
                <w:lang w:bidi="ar"/>
              </w:rPr>
            </w:pPr>
          </w:p>
        </w:tc>
      </w:tr>
      <w:tr w14:paraId="3773F4B2">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1D487CF7">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5</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3320B423">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7B99E9C3">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遥感监测技术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59372887">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建设大气污染地基遥感站点及二氧化氮、VOCs光学观测仪器等设备。</w:t>
            </w:r>
          </w:p>
        </w:tc>
        <w:tc>
          <w:tcPr>
            <w:tcW w:w="1394" w:type="dxa"/>
            <w:vMerge w:val="continue"/>
            <w:tcBorders>
              <w:left w:val="single" w:color="000000" w:sz="4" w:space="0"/>
              <w:right w:val="single" w:color="000000" w:sz="4" w:space="0"/>
            </w:tcBorders>
            <w:noWrap/>
            <w:vAlign w:val="center"/>
          </w:tcPr>
          <w:p w14:paraId="491CFEDC">
            <w:pPr>
              <w:jc w:val="center"/>
              <w:rPr>
                <w:rFonts w:hint="eastAsia" w:ascii="宋体" w:hAnsi="宋体" w:cs="宋体"/>
                <w:color w:val="000000"/>
                <w:kern w:val="0"/>
                <w:szCs w:val="21"/>
                <w:lang w:bidi="ar"/>
              </w:rPr>
            </w:pPr>
          </w:p>
        </w:tc>
      </w:tr>
      <w:tr w14:paraId="69A12E78">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8377A35">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6</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1CF0CC7D">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51022569">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电子围栏技术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2CD8363A">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针对重点区域，如物流园区、工业园区等，建立电子围栏，配套门禁管理系统并与生态环境部门联网，实现机动车动态监控，加强重污染应急期或重点管控时段的机动车行驶管控。</w:t>
            </w:r>
          </w:p>
        </w:tc>
        <w:tc>
          <w:tcPr>
            <w:tcW w:w="1394" w:type="dxa"/>
            <w:vMerge w:val="continue"/>
            <w:tcBorders>
              <w:left w:val="single" w:color="000000" w:sz="4" w:space="0"/>
              <w:right w:val="single" w:color="000000" w:sz="4" w:space="0"/>
            </w:tcBorders>
            <w:noWrap/>
            <w:vAlign w:val="center"/>
          </w:tcPr>
          <w:p w14:paraId="7B7799CC">
            <w:pPr>
              <w:jc w:val="center"/>
              <w:rPr>
                <w:rFonts w:hint="eastAsia" w:ascii="宋体" w:hAnsi="宋体" w:cs="宋体"/>
                <w:color w:val="000000"/>
                <w:kern w:val="0"/>
                <w:szCs w:val="21"/>
                <w:lang w:bidi="ar"/>
              </w:rPr>
            </w:pPr>
          </w:p>
        </w:tc>
      </w:tr>
      <w:tr w14:paraId="1F4F7D92">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3B7EB401">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7</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766C76F0">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48382986">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环境风险预警大数据分析模型和技术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33EBA384">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为进一步提升执法精准性，合理调度执法力量，精准发现、打击环境违法行为，在目前掌握的污染源基本数据、空间数据的基础上，加入企业用电量、用水量，人员活动情况等各类社会数据，以及气象、遥感等各类监测数据，实现对污染源和区域空间的立体分析，综合形成环境风险预警数据。</w:t>
            </w:r>
          </w:p>
        </w:tc>
        <w:tc>
          <w:tcPr>
            <w:tcW w:w="1394" w:type="dxa"/>
            <w:vMerge w:val="continue"/>
            <w:tcBorders>
              <w:left w:val="single" w:color="000000" w:sz="4" w:space="0"/>
              <w:right w:val="single" w:color="000000" w:sz="4" w:space="0"/>
            </w:tcBorders>
            <w:noWrap/>
            <w:vAlign w:val="center"/>
          </w:tcPr>
          <w:p w14:paraId="5044B8F3">
            <w:pPr>
              <w:jc w:val="center"/>
              <w:rPr>
                <w:rFonts w:hint="eastAsia" w:ascii="宋体" w:hAnsi="宋体" w:cs="宋体"/>
                <w:color w:val="000000"/>
                <w:kern w:val="0"/>
                <w:szCs w:val="21"/>
                <w:lang w:bidi="ar"/>
              </w:rPr>
            </w:pPr>
          </w:p>
        </w:tc>
      </w:tr>
      <w:tr w14:paraId="5181521E">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48995FDA">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8</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6DA96B8D">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0BEB1F71">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科学的执法效能评估技术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0EAA4DE8">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目前关于执法效能的评估集中于执法检查力量分布和行政处罚行为产出关联分析，一是未同环境质量指标变化进行相关性分析，二是评价因子尚不全面。为合理评估执法效能，需要融汇多源评价因子，建立科学分析模型。</w:t>
            </w:r>
          </w:p>
        </w:tc>
        <w:tc>
          <w:tcPr>
            <w:tcW w:w="1394" w:type="dxa"/>
            <w:vMerge w:val="continue"/>
            <w:tcBorders>
              <w:left w:val="single" w:color="000000" w:sz="4" w:space="0"/>
              <w:right w:val="single" w:color="000000" w:sz="4" w:space="0"/>
            </w:tcBorders>
            <w:noWrap/>
            <w:vAlign w:val="center"/>
          </w:tcPr>
          <w:p w14:paraId="44A01E88">
            <w:pPr>
              <w:jc w:val="center"/>
              <w:rPr>
                <w:rFonts w:hint="eastAsia" w:ascii="宋体" w:hAnsi="宋体" w:cs="宋体"/>
                <w:color w:val="000000"/>
                <w:kern w:val="0"/>
                <w:szCs w:val="21"/>
                <w:lang w:bidi="ar"/>
              </w:rPr>
            </w:pPr>
          </w:p>
        </w:tc>
      </w:tr>
      <w:tr w14:paraId="727F334E">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62D1D9E">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9</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74D2B684">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0138CC3C">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综合性智能化的涉气涉水违法线索感知的非现场监管技术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03CB8394">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接入我市自动监控平台的重点排污单位接近600家，基本实现了对重点排污单位的全天候非现场监管，但如何通过自动监控数据实现对异常线索的动态感知，及时发现企业的违法违规行为，提升对企业的监管效果成为摆在执法人员面前的难题。因此，以重点污染源自动监控为基础，以人工智能、大数据、区块链等技术为依托，融合污染源自动监控、大气污染热点网格等监测数据，搭建综合性、智能化的大气违法线索精准感知的非现场监管体系，实现违法违规行为、弄虚作假行为、异常线索等智能化自动甄别和推送，形成从问题的及时发现、精准定位到快速解决的闭环联动机制，完成“管人、管事、管数”的流程化高效协同管理，实现线索感知的面到点的提升，是当前亟需解决的问题。</w:t>
            </w:r>
          </w:p>
        </w:tc>
        <w:tc>
          <w:tcPr>
            <w:tcW w:w="1394" w:type="dxa"/>
            <w:vMerge w:val="continue"/>
            <w:tcBorders>
              <w:left w:val="single" w:color="000000" w:sz="4" w:space="0"/>
              <w:right w:val="single" w:color="000000" w:sz="4" w:space="0"/>
            </w:tcBorders>
            <w:noWrap/>
            <w:vAlign w:val="center"/>
          </w:tcPr>
          <w:p w14:paraId="39821961">
            <w:pPr>
              <w:jc w:val="center"/>
              <w:rPr>
                <w:rFonts w:hint="eastAsia" w:ascii="宋体" w:hAnsi="宋体" w:cs="宋体"/>
                <w:color w:val="000000"/>
                <w:kern w:val="0"/>
                <w:szCs w:val="21"/>
                <w:lang w:bidi="ar"/>
              </w:rPr>
            </w:pPr>
          </w:p>
        </w:tc>
      </w:tr>
      <w:tr w14:paraId="4FBFD981">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2D319C6">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10</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172E1CCE">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527841DB">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异常噪声线索识别和监控技术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54B68373">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我市正在推进噪声重点管控区域噪声监测设备的布设工作，但对于异常噪声的精准识别和溯源，尤其是异常噪声的时间分布、异常规律、类别等的分析还存在缺失，亟需通过噪声识别和感知系统的建设，实现对异常噪声的精准监管。</w:t>
            </w:r>
          </w:p>
        </w:tc>
        <w:tc>
          <w:tcPr>
            <w:tcW w:w="1394" w:type="dxa"/>
            <w:vMerge w:val="continue"/>
            <w:tcBorders>
              <w:left w:val="single" w:color="000000" w:sz="4" w:space="0"/>
              <w:right w:val="single" w:color="000000" w:sz="4" w:space="0"/>
            </w:tcBorders>
            <w:noWrap/>
            <w:vAlign w:val="center"/>
          </w:tcPr>
          <w:p w14:paraId="2EE080DD">
            <w:pPr>
              <w:jc w:val="center"/>
              <w:rPr>
                <w:rFonts w:hint="eastAsia" w:ascii="宋体" w:hAnsi="宋体" w:cs="宋体"/>
                <w:color w:val="000000"/>
                <w:kern w:val="0"/>
                <w:szCs w:val="21"/>
                <w:lang w:bidi="ar"/>
              </w:rPr>
            </w:pPr>
          </w:p>
        </w:tc>
      </w:tr>
      <w:tr w14:paraId="63E763E4">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62898B33">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11</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5E0F478C">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2A5EAF5A">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碳排放执法闭环管理技术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AB36435">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碳执法工作的主要对象为碳排放履约单位，执法内容为碳排放报告执行和履约情况，缺乏对碳排放全过程的动态监管和第三方核查机构和检测机构的监管，无法及时发现其中存在的问题和漏洞。结合监管需要，按照“企业报送数据——数据接收-数据分析-线索识别-精准推送—现场执法-排查反馈-问题整改-企业报送数据”的思路，建立碳排放执法闭环管理模式，识别重点碳排放单位的核算边界错误、数据不全、参数选用不对等常见问题进行线索推送；利用企业厂界周边安装建设的二氧化碳、甲烷等碳排放监测设备，实现企业碳排放数据的实时监管，动态评估和识别异常排放和超强度排放情况，提醒企业及时整改，引导执法手段及时介入，最大限度减少污染排放。</w:t>
            </w:r>
          </w:p>
        </w:tc>
        <w:tc>
          <w:tcPr>
            <w:tcW w:w="1394" w:type="dxa"/>
            <w:vMerge w:val="continue"/>
            <w:tcBorders>
              <w:left w:val="single" w:color="000000" w:sz="4" w:space="0"/>
              <w:right w:val="single" w:color="000000" w:sz="4" w:space="0"/>
            </w:tcBorders>
            <w:noWrap/>
            <w:vAlign w:val="center"/>
          </w:tcPr>
          <w:p w14:paraId="1A76D36C">
            <w:pPr>
              <w:jc w:val="center"/>
              <w:rPr>
                <w:rFonts w:hint="eastAsia" w:ascii="宋体" w:hAnsi="宋体" w:cs="宋体"/>
                <w:color w:val="000000"/>
                <w:kern w:val="0"/>
                <w:szCs w:val="21"/>
                <w:lang w:bidi="ar"/>
              </w:rPr>
            </w:pPr>
          </w:p>
        </w:tc>
      </w:tr>
      <w:tr w14:paraId="07A05796">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D24DFDB">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12</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62774799">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65581176">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机动车排放检验机构违法问题识别和取证系统技术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AB9BC3F">
            <w:pPr>
              <w:keepNext w:val="0"/>
              <w:keepLines w:val="0"/>
              <w:widowControl/>
              <w:suppressLineNumbers w:val="0"/>
              <w:jc w:val="left"/>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1"/>
                <w:szCs w:val="21"/>
                <w:u w:val="none"/>
                <w:lang w:val="en-US" w:eastAsia="zh-CN" w:bidi="ar"/>
              </w:rPr>
              <w:t>机动车检验机构是机动车排放监管的重要环节，其工作规范性是保证机动车达标排放的重要保证。因此，通过接入的机动车排放检验机构监控视频、操作日志、检验结数据等，构建违法问题识别和取证系统，自动识别涉嫌造假等违规线索，实现线索推送和证据留存功能，震慑违法行为，降低违规行为发生风险，提高机动车环保检测的实际效果。</w:t>
            </w:r>
          </w:p>
        </w:tc>
        <w:tc>
          <w:tcPr>
            <w:tcW w:w="1394" w:type="dxa"/>
            <w:vMerge w:val="continue"/>
            <w:tcBorders>
              <w:left w:val="single" w:color="000000" w:sz="4" w:space="0"/>
              <w:right w:val="single" w:color="000000" w:sz="4" w:space="0"/>
            </w:tcBorders>
            <w:noWrap/>
            <w:vAlign w:val="center"/>
          </w:tcPr>
          <w:p w14:paraId="458A50FC">
            <w:pPr>
              <w:jc w:val="center"/>
              <w:rPr>
                <w:rFonts w:hint="eastAsia" w:ascii="宋体" w:hAnsi="宋体" w:cs="宋体"/>
                <w:color w:val="000000"/>
                <w:kern w:val="0"/>
                <w:szCs w:val="21"/>
                <w:lang w:bidi="ar"/>
              </w:rPr>
            </w:pPr>
          </w:p>
        </w:tc>
      </w:tr>
      <w:tr w14:paraId="256195FE">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602106E3">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w:t>
            </w:r>
          </w:p>
        </w:tc>
        <w:tc>
          <w:tcPr>
            <w:tcW w:w="755" w:type="dxa"/>
            <w:vMerge w:val="restart"/>
            <w:tcBorders>
              <w:top w:val="single" w:color="000000" w:sz="4" w:space="0"/>
              <w:left w:val="single" w:color="000000" w:sz="4" w:space="0"/>
              <w:bottom w:val="single" w:color="000000" w:sz="4" w:space="0"/>
              <w:right w:val="single" w:color="000000" w:sz="4" w:space="0"/>
            </w:tcBorders>
            <w:noWrap/>
            <w:vAlign w:val="center"/>
          </w:tcPr>
          <w:p w14:paraId="16EBD9E5">
            <w:pPr>
              <w:keepNext w:val="0"/>
              <w:keepLines w:val="0"/>
              <w:widowControl/>
              <w:suppressLineNumbers w:val="0"/>
              <w:jc w:val="center"/>
              <w:textAlignment w:val="center"/>
              <w:rPr>
                <w:rFonts w:hint="eastAsia" w:ascii="宋体" w:hAnsi="宋体" w:eastAsia="宋体" w:cs="宋体"/>
                <w:i w:val="0"/>
                <w:color w:val="000000"/>
                <w:kern w:val="2"/>
                <w:sz w:val="21"/>
                <w:szCs w:val="21"/>
                <w:u w:val="none"/>
                <w:lang w:val="en-US" w:eastAsia="zh-CN" w:bidi="ar"/>
              </w:rPr>
            </w:pPr>
            <w:r>
              <w:rPr>
                <w:rFonts w:hint="eastAsia" w:ascii="宋体" w:hAnsi="宋体" w:eastAsia="宋体" w:cs="宋体"/>
                <w:i w:val="0"/>
                <w:color w:val="000000"/>
                <w:kern w:val="2"/>
                <w:sz w:val="21"/>
                <w:szCs w:val="21"/>
                <w:u w:val="none"/>
                <w:lang w:val="en-US" w:eastAsia="zh-CN" w:bidi="ar"/>
              </w:rPr>
              <w:t>绿色智慧建筑</w:t>
            </w:r>
          </w:p>
          <w:p w14:paraId="2A0A5FF2">
            <w:pPr>
              <w:spacing w:line="240" w:lineRule="auto"/>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6</w:t>
            </w:r>
            <w:r>
              <w:rPr>
                <w:rFonts w:hint="eastAsia" w:ascii="宋体" w:hAnsi="宋体" w:eastAsia="宋体" w:cs="宋体"/>
                <w:color w:val="000000"/>
                <w:sz w:val="21"/>
                <w:szCs w:val="21"/>
                <w:lang w:eastAsia="zh-CN" w:bidi="ar"/>
              </w:rPr>
              <w:t>（</w:t>
            </w:r>
            <w:r>
              <w:rPr>
                <w:rFonts w:hint="eastAsia" w:ascii="宋体" w:hAnsi="宋体" w:eastAsia="宋体" w:cs="宋体"/>
                <w:color w:val="000000"/>
                <w:sz w:val="21"/>
                <w:szCs w:val="21"/>
                <w:lang w:val="en-US" w:eastAsia="zh-CN" w:bidi="ar"/>
              </w:rPr>
              <w:t>咨询电话：</w:t>
            </w:r>
            <w:r>
              <w:rPr>
                <w:rFonts w:hint="eastAsia" w:ascii="宋体" w:hAnsi="宋体" w:eastAsia="宋体" w:cs="宋体"/>
                <w:color w:val="000000"/>
                <w:sz w:val="21"/>
                <w:szCs w:val="21"/>
                <w:lang w:bidi="ar"/>
              </w:rPr>
              <w:t>6</w:t>
            </w:r>
            <w:r>
              <w:rPr>
                <w:rFonts w:hint="eastAsia" w:ascii="宋体" w:hAnsi="宋体" w:cs="宋体"/>
                <w:color w:val="000000"/>
                <w:sz w:val="21"/>
                <w:szCs w:val="21"/>
                <w:lang w:val="en-US" w:eastAsia="zh-CN" w:bidi="ar"/>
              </w:rPr>
              <w:t>6</w:t>
            </w:r>
            <w:r>
              <w:rPr>
                <w:rFonts w:hint="eastAsia" w:ascii="宋体" w:hAnsi="宋体" w:eastAsia="宋体" w:cs="宋体"/>
                <w:color w:val="000000"/>
                <w:sz w:val="21"/>
                <w:szCs w:val="21"/>
                <w:lang w:bidi="ar"/>
              </w:rPr>
              <w:t>159316-810</w:t>
            </w:r>
            <w:r>
              <w:rPr>
                <w:rFonts w:hint="eastAsia" w:ascii="宋体" w:hAnsi="宋体" w:eastAsia="宋体" w:cs="宋体"/>
                <w:color w:val="000000"/>
                <w:sz w:val="21"/>
                <w:szCs w:val="21"/>
                <w:lang w:eastAsia="zh-CN" w:bidi="ar"/>
              </w:rPr>
              <w:t>）</w:t>
            </w:r>
          </w:p>
          <w:p w14:paraId="7E3BE4DC">
            <w:pPr>
              <w:keepNext w:val="0"/>
              <w:keepLines w:val="0"/>
              <w:widowControl/>
              <w:suppressLineNumbers w:val="0"/>
              <w:jc w:val="center"/>
              <w:textAlignment w:val="center"/>
              <w:rPr>
                <w:rFonts w:hint="eastAsia" w:ascii="宋体" w:hAnsi="宋体" w:eastAsia="宋体" w:cs="宋体"/>
                <w:color w:val="000000"/>
                <w:szCs w:val="21"/>
                <w:lang w:bidi="ar"/>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2778820F">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BIM技术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60A7F50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通用的、国产的BIM应用软件技术</w:t>
            </w:r>
          </w:p>
        </w:tc>
        <w:tc>
          <w:tcPr>
            <w:tcW w:w="1394" w:type="dxa"/>
            <w:vMerge w:val="restart"/>
            <w:tcBorders>
              <w:left w:val="single" w:color="000000" w:sz="4" w:space="0"/>
              <w:right w:val="single" w:color="000000" w:sz="4" w:space="0"/>
            </w:tcBorders>
            <w:noWrap/>
            <w:vAlign w:val="center"/>
          </w:tcPr>
          <w:p w14:paraId="39D39357">
            <w:pPr>
              <w:keepNext w:val="0"/>
              <w:keepLines w:val="0"/>
              <w:widowControl/>
              <w:suppressLineNumbers w:val="0"/>
              <w:jc w:val="center"/>
              <w:textAlignment w:val="center"/>
              <w:rPr>
                <w:rFonts w:hint="eastAsia" w:ascii="宋体" w:hAnsi="宋体" w:cs="宋体"/>
                <w:color w:val="000000"/>
                <w:kern w:val="0"/>
                <w:szCs w:val="21"/>
                <w:lang w:bidi="ar"/>
              </w:rPr>
            </w:pPr>
            <w:r>
              <w:rPr>
                <w:rFonts w:hint="eastAsia" w:ascii="宋体" w:hAnsi="宋体" w:eastAsia="宋体" w:cs="宋体"/>
                <w:i w:val="0"/>
                <w:color w:val="000000"/>
                <w:kern w:val="0"/>
                <w:sz w:val="24"/>
                <w:szCs w:val="24"/>
                <w:u w:val="none"/>
                <w:lang w:val="en-US" w:eastAsia="zh-CN" w:bidi="ar"/>
              </w:rPr>
              <w:t>市住建委</w:t>
            </w:r>
          </w:p>
        </w:tc>
      </w:tr>
      <w:tr w14:paraId="18272092">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8AB3A99">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23CE45B7">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5AF68465">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建筑机器人技术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7F209B9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1.能够真正代替人的操作的建筑机器人技术；</w:t>
            </w:r>
          </w:p>
          <w:p w14:paraId="02B50600">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2.对建筑隔墙条板自动化安装机器人技术；</w:t>
            </w:r>
          </w:p>
          <w:p w14:paraId="5AB0F9E9">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3.在特定场景、特定环境下应用建筑机器人，并提高人工智能或机器人的智能化程度，对于复杂多边的建筑工地场景有更高的适应能力。</w:t>
            </w:r>
          </w:p>
        </w:tc>
        <w:tc>
          <w:tcPr>
            <w:tcW w:w="1394" w:type="dxa"/>
            <w:vMerge w:val="continue"/>
            <w:tcBorders>
              <w:left w:val="single" w:color="000000" w:sz="4" w:space="0"/>
              <w:right w:val="single" w:color="000000" w:sz="4" w:space="0"/>
            </w:tcBorders>
            <w:noWrap/>
            <w:vAlign w:val="center"/>
          </w:tcPr>
          <w:p w14:paraId="3F49F928">
            <w:pPr>
              <w:jc w:val="center"/>
              <w:rPr>
                <w:rFonts w:hint="eastAsia" w:ascii="宋体" w:hAnsi="宋体" w:cs="宋体"/>
                <w:color w:val="000000"/>
                <w:kern w:val="0"/>
                <w:szCs w:val="21"/>
                <w:lang w:bidi="ar"/>
              </w:rPr>
            </w:pPr>
          </w:p>
        </w:tc>
      </w:tr>
      <w:tr w14:paraId="5D1D99B8">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48781EC7">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48356D58">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1431E650">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智能建造技术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1C92443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1.完全与项目实施过程结合的数据采集及数据流转平台技术；</w:t>
            </w:r>
          </w:p>
          <w:p w14:paraId="5C22F398">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基于智能算法的施工生产组织筹划技术。如预制构件场地智能规划、智能排产、生产与存储、现场安装进度协同匹配分析、智能预警等技术，实现工业化生产与现场施工的高度协同，促进智能建造技术在建筑行业的深度价值实现。</w:t>
            </w:r>
          </w:p>
          <w:p w14:paraId="4DB01751">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3.施工现场质量安全问题与隐患智能快速识别和分析技术。如利用摄像头、AR智能眼镜或其他图像捕捉方式实现对施工现场质量安全隐患与问题的智能识别与分析，实现实时高效大范围的现场质量安全管控。</w:t>
            </w:r>
          </w:p>
          <w:p w14:paraId="0630088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4.对于装配式建筑绿色建造方式有需求，共同研究设计、生产、施工、运维全过程绿色建造。</w:t>
            </w:r>
          </w:p>
          <w:p w14:paraId="2F0FCB8C">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5.协作开展基于机器视觉的施工进度识别，高效实现公路、桥梁、隧道等土木工程施工进度的精细化管理技术。</w:t>
            </w:r>
          </w:p>
        </w:tc>
        <w:tc>
          <w:tcPr>
            <w:tcW w:w="1394" w:type="dxa"/>
            <w:vMerge w:val="continue"/>
            <w:tcBorders>
              <w:left w:val="single" w:color="000000" w:sz="4" w:space="0"/>
              <w:right w:val="single" w:color="000000" w:sz="4" w:space="0"/>
            </w:tcBorders>
            <w:noWrap/>
            <w:vAlign w:val="center"/>
          </w:tcPr>
          <w:p w14:paraId="41E632F2">
            <w:pPr>
              <w:jc w:val="center"/>
              <w:rPr>
                <w:rFonts w:hint="eastAsia" w:ascii="宋体" w:hAnsi="宋体" w:cs="宋体"/>
                <w:color w:val="000000"/>
                <w:kern w:val="0"/>
                <w:szCs w:val="21"/>
                <w:lang w:bidi="ar"/>
              </w:rPr>
            </w:pPr>
          </w:p>
        </w:tc>
      </w:tr>
      <w:tr w14:paraId="6214394F">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37D9B55">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3A56FAFA">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697F5344">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绿色建材评价认证技术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3DA03295">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1.建材产品碳足迹量化标准研究</w:t>
            </w:r>
          </w:p>
          <w:p w14:paraId="155E9F6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为实现“双碳”目标，需制定与绿色建材产品认证目录对应的碳足迹量化指标，建立行业绿色低碳技术评价细则，建立低碳产品评价通则，尤其要对建筑工程应用中量大面广建材产品，提出碳足迹基准值，推动绿色低碳建材技术和产品发展。</w:t>
            </w:r>
          </w:p>
          <w:p w14:paraId="14BE325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2.碳排放认证认可体系研究</w:t>
            </w:r>
          </w:p>
          <w:p w14:paraId="3D479072">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基于绿色产品认证、绿色建材产品认证等合格评定体系的协同发展，整合低碳产品认证、碳标签（足迹）认证，构建完善的产品碳排放认证认可体系。</w:t>
            </w:r>
          </w:p>
        </w:tc>
        <w:tc>
          <w:tcPr>
            <w:tcW w:w="1394" w:type="dxa"/>
            <w:vMerge w:val="continue"/>
            <w:tcBorders>
              <w:left w:val="single" w:color="000000" w:sz="4" w:space="0"/>
              <w:right w:val="single" w:color="000000" w:sz="4" w:space="0"/>
            </w:tcBorders>
            <w:noWrap/>
            <w:vAlign w:val="center"/>
          </w:tcPr>
          <w:p w14:paraId="7D01DFDE">
            <w:pPr>
              <w:jc w:val="center"/>
              <w:rPr>
                <w:rFonts w:hint="eastAsia" w:ascii="宋体" w:hAnsi="宋体" w:cs="宋体"/>
                <w:color w:val="000000"/>
                <w:kern w:val="0"/>
                <w:szCs w:val="21"/>
                <w:lang w:bidi="ar"/>
              </w:rPr>
            </w:pPr>
          </w:p>
        </w:tc>
      </w:tr>
      <w:tr w14:paraId="32B6EBA2">
        <w:tblPrEx>
          <w:tblCellMar>
            <w:top w:w="0" w:type="dxa"/>
            <w:left w:w="108" w:type="dxa"/>
            <w:bottom w:w="0" w:type="dxa"/>
            <w:right w:w="108" w:type="dxa"/>
          </w:tblCellMar>
        </w:tblPrEx>
        <w:trPr>
          <w:trHeight w:val="385"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463624E7">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5077D4E8">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1EFDCAF6">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绿色建材关键技术研发与课题研究</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74E931B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1.开展绿色建筑智能选材研究</w:t>
            </w:r>
          </w:p>
          <w:p w14:paraId="46272587">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通过互联网、大数据、云服务等信息技术无缝对接基于建筑信息模型（BIM）技术的建筑设计软件系统，实现建筑设计及装修阶段的选材智能化。</w:t>
            </w:r>
          </w:p>
          <w:p w14:paraId="7859750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2.新型大宗建材在建筑工程应用的碳排放研究</w:t>
            </w:r>
          </w:p>
          <w:p w14:paraId="776AC97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聚焦高性能混凝土、预制构件功能复合墙体材料、节能玻璃和门窗系统、长寿命生态屋面材料等建筑部品，研究其在建筑寿命期不同气候区的碳排放。</w:t>
            </w:r>
          </w:p>
          <w:p w14:paraId="378CA6DD">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3.固废利用再生绿色建材评价标准研究</w:t>
            </w:r>
          </w:p>
          <w:p w14:paraId="445AA8A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研究利用多种固废组配制备高附加值功能型绿色建材的评价技术，为“无废城市”建设提供范例。</w:t>
            </w:r>
          </w:p>
          <w:p w14:paraId="0F31FE3E">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4.抗菌杀毒功能建材的评价标准研究</w:t>
            </w:r>
          </w:p>
          <w:p w14:paraId="3C06CD63">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对满足“平疫结合”的低碳抗菌杀毒装饰板建材新产品，基于长效、安全性开展绿色评价标准研究。</w:t>
            </w:r>
          </w:p>
        </w:tc>
        <w:tc>
          <w:tcPr>
            <w:tcW w:w="1394" w:type="dxa"/>
            <w:vMerge w:val="continue"/>
            <w:tcBorders>
              <w:left w:val="single" w:color="000000" w:sz="4" w:space="0"/>
              <w:right w:val="single" w:color="000000" w:sz="4" w:space="0"/>
            </w:tcBorders>
            <w:noWrap/>
            <w:vAlign w:val="center"/>
          </w:tcPr>
          <w:p w14:paraId="1E08A47B">
            <w:pPr>
              <w:jc w:val="center"/>
              <w:rPr>
                <w:rFonts w:hint="eastAsia" w:ascii="宋体" w:hAnsi="宋体" w:cs="宋体"/>
                <w:color w:val="000000"/>
                <w:kern w:val="0"/>
                <w:szCs w:val="21"/>
                <w:lang w:bidi="ar"/>
              </w:rPr>
            </w:pPr>
          </w:p>
        </w:tc>
      </w:tr>
      <w:tr w14:paraId="2FC7265E">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7BBB94DD">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3F93C26A">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12CCEC9D">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基于绿色建筑综合效能调适方法和闭环流程的关键技术研究</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2D2528E6">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综合调适的目的是使绿色建筑在动态负荷变化和实际使用功能要求复杂的情况下，使建筑各个系统满足设计和用户的使用要求。应通过综合效能调适的过程引入和调适方法的研究，并结合现行国家施工质量验收规范的规定，形成传统调试→竣工验收→综合效能调适→交付培训→运行和维护的闭环流程。</w:t>
            </w:r>
          </w:p>
        </w:tc>
        <w:tc>
          <w:tcPr>
            <w:tcW w:w="1394" w:type="dxa"/>
            <w:vMerge w:val="continue"/>
            <w:tcBorders>
              <w:left w:val="single" w:color="000000" w:sz="4" w:space="0"/>
              <w:right w:val="single" w:color="000000" w:sz="4" w:space="0"/>
            </w:tcBorders>
            <w:noWrap/>
            <w:vAlign w:val="center"/>
          </w:tcPr>
          <w:p w14:paraId="0BF5EB46">
            <w:pPr>
              <w:jc w:val="center"/>
              <w:rPr>
                <w:rFonts w:hint="eastAsia" w:ascii="宋体" w:hAnsi="宋体" w:cs="宋体"/>
                <w:color w:val="000000"/>
                <w:kern w:val="0"/>
                <w:szCs w:val="21"/>
                <w:lang w:bidi="ar"/>
              </w:rPr>
            </w:pPr>
          </w:p>
        </w:tc>
      </w:tr>
      <w:tr w14:paraId="17E0B162">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29493C9B">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74AF16A0">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045D14BC">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能源管控平台技术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E0BB6AB">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对绿色建筑的能源消耗情况实行实时监控，加强绿色建筑能源管理、指导提升能源使用率。通过统计分析、数据挖掘等方法，对建筑能耗数据进行综合展现分析和预测预警，为绿色建筑高效运行提供全方位的信息支撑。</w:t>
            </w:r>
          </w:p>
        </w:tc>
        <w:tc>
          <w:tcPr>
            <w:tcW w:w="1394" w:type="dxa"/>
            <w:vMerge w:val="continue"/>
            <w:tcBorders>
              <w:left w:val="single" w:color="000000" w:sz="4" w:space="0"/>
              <w:right w:val="single" w:color="000000" w:sz="4" w:space="0"/>
            </w:tcBorders>
            <w:noWrap/>
            <w:vAlign w:val="center"/>
          </w:tcPr>
          <w:p w14:paraId="3FE4F13B">
            <w:pPr>
              <w:jc w:val="center"/>
              <w:rPr>
                <w:rFonts w:hint="eastAsia" w:ascii="宋体" w:hAnsi="宋体" w:cs="宋体"/>
                <w:color w:val="000000"/>
                <w:kern w:val="0"/>
                <w:szCs w:val="21"/>
                <w:lang w:bidi="ar"/>
              </w:rPr>
            </w:pPr>
          </w:p>
        </w:tc>
      </w:tr>
      <w:tr w14:paraId="71F37048">
        <w:tblPrEx>
          <w:tblCellMar>
            <w:top w:w="0" w:type="dxa"/>
            <w:left w:w="108" w:type="dxa"/>
            <w:bottom w:w="0" w:type="dxa"/>
            <w:right w:w="108" w:type="dxa"/>
          </w:tblCellMar>
        </w:tblPrEx>
        <w:trPr>
          <w:trHeight w:val="540" w:hRule="atLeast"/>
          <w:jc w:val="center"/>
        </w:trPr>
        <w:tc>
          <w:tcPr>
            <w:tcW w:w="755" w:type="dxa"/>
            <w:tcBorders>
              <w:top w:val="single" w:color="000000" w:sz="4" w:space="0"/>
              <w:left w:val="single" w:color="000000" w:sz="4" w:space="0"/>
              <w:bottom w:val="single" w:color="000000" w:sz="4" w:space="0"/>
              <w:right w:val="single" w:color="000000" w:sz="4" w:space="0"/>
            </w:tcBorders>
            <w:noWrap/>
            <w:vAlign w:val="center"/>
          </w:tcPr>
          <w:p w14:paraId="5EEE7D4A">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755" w:type="dxa"/>
            <w:vMerge w:val="continue"/>
            <w:tcBorders>
              <w:top w:val="single" w:color="000000" w:sz="4" w:space="0"/>
              <w:left w:val="single" w:color="000000" w:sz="4" w:space="0"/>
              <w:bottom w:val="single" w:color="000000" w:sz="4" w:space="0"/>
              <w:right w:val="single" w:color="000000" w:sz="4" w:space="0"/>
            </w:tcBorders>
            <w:noWrap/>
            <w:vAlign w:val="center"/>
          </w:tcPr>
          <w:p w14:paraId="309E4A8D">
            <w:pPr>
              <w:jc w:val="center"/>
              <w:rPr>
                <w:rFonts w:hint="eastAsia" w:ascii="宋体" w:hAnsi="宋体" w:cs="宋体"/>
                <w:color w:val="000000"/>
                <w:szCs w:val="21"/>
              </w:rPr>
            </w:pPr>
          </w:p>
        </w:tc>
        <w:tc>
          <w:tcPr>
            <w:tcW w:w="1485" w:type="dxa"/>
            <w:tcBorders>
              <w:top w:val="single" w:color="000000" w:sz="4" w:space="0"/>
              <w:left w:val="single" w:color="000000" w:sz="4" w:space="0"/>
              <w:bottom w:val="single" w:color="000000" w:sz="4" w:space="0"/>
              <w:right w:val="single" w:color="000000" w:sz="4" w:space="0"/>
            </w:tcBorders>
            <w:noWrap/>
            <w:vAlign w:val="center"/>
          </w:tcPr>
          <w:p w14:paraId="5902D578">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建筑产业互联网技术</w:t>
            </w:r>
          </w:p>
        </w:tc>
        <w:tc>
          <w:tcPr>
            <w:tcW w:w="6165" w:type="dxa"/>
            <w:tcBorders>
              <w:top w:val="single" w:color="000000" w:sz="4" w:space="0"/>
              <w:left w:val="single" w:color="000000" w:sz="4" w:space="0"/>
              <w:bottom w:val="single" w:color="000000" w:sz="4" w:space="0"/>
              <w:right w:val="single" w:color="000000" w:sz="4" w:space="0"/>
            </w:tcBorders>
            <w:noWrap/>
            <w:vAlign w:val="center"/>
          </w:tcPr>
          <w:p w14:paraId="431EE5DF">
            <w:pPr>
              <w:keepNext w:val="0"/>
              <w:keepLines w:val="0"/>
              <w:widowControl/>
              <w:suppressLineNumbers w:val="0"/>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基于新一代信息技术与建筑业深度融合形成的关键基础设施和运营模式，促进建筑业数字化、智能化升级，打通建筑业上下游产业链、实现协同发展，推动智能建造与建筑工业化协同发展，实现数字设计-智能生产-智能施工-智能运维等全链数字化。</w:t>
            </w:r>
          </w:p>
        </w:tc>
        <w:tc>
          <w:tcPr>
            <w:tcW w:w="1394" w:type="dxa"/>
            <w:vMerge w:val="continue"/>
            <w:tcBorders>
              <w:left w:val="single" w:color="000000" w:sz="4" w:space="0"/>
              <w:bottom w:val="single" w:color="000000" w:sz="4" w:space="0"/>
              <w:right w:val="single" w:color="000000" w:sz="4" w:space="0"/>
            </w:tcBorders>
            <w:noWrap/>
            <w:vAlign w:val="center"/>
          </w:tcPr>
          <w:p w14:paraId="76F8BD79">
            <w:pPr>
              <w:jc w:val="center"/>
              <w:rPr>
                <w:rFonts w:hint="eastAsia" w:ascii="宋体" w:hAnsi="宋体" w:cs="宋体"/>
                <w:color w:val="000000"/>
                <w:kern w:val="0"/>
                <w:szCs w:val="21"/>
                <w:lang w:bidi="ar"/>
              </w:rPr>
            </w:pPr>
          </w:p>
        </w:tc>
      </w:tr>
    </w:tbl>
    <w:p w14:paraId="71240F8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1"/>
    <w:family w:val="swiss"/>
    <w:pitch w:val="default"/>
    <w:sig w:usb0="E0002EFF" w:usb1="C000785B" w:usb2="00000009" w:usb3="00000000" w:csb0="400001FF" w:csb1="FFFF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3296640F"/>
    <w:rsid w:val="3296640F"/>
    <w:rsid w:val="63745150"/>
    <w:rsid w:val="75AB4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index heading"/>
    <w:basedOn w:val="1"/>
    <w:next w:val="3"/>
    <w:qFormat/>
    <w:uiPriority w:val="0"/>
    <w:rPr>
      <w:rFonts w:ascii="Arial" w:hAnsi="Arial"/>
      <w:b/>
    </w:rPr>
  </w:style>
  <w:style w:type="paragraph" w:styleId="3">
    <w:name w:val="index 1"/>
    <w:basedOn w:val="1"/>
    <w:next w:val="1"/>
    <w:qFormat/>
    <w:uiPriority w:val="0"/>
  </w:style>
  <w:style w:type="character" w:customStyle="1" w:styleId="6">
    <w:name w:val="font11"/>
    <w:qFormat/>
    <w:uiPriority w:val="0"/>
    <w:rPr>
      <w:rFonts w:hint="eastAsia" w:ascii="宋体" w:hAnsi="宋体" w:eastAsia="宋体" w:cs="宋体"/>
      <w:color w:val="000000"/>
      <w:sz w:val="22"/>
      <w:szCs w:val="22"/>
      <w:u w:val="none"/>
    </w:rPr>
  </w:style>
  <w:style w:type="character" w:customStyle="1" w:styleId="7">
    <w:name w:val="font01"/>
    <w:qFormat/>
    <w:uiPriority w:val="0"/>
    <w:rPr>
      <w:rFonts w:hint="eastAsia" w:ascii="宋体" w:hAnsi="宋体" w:eastAsia="宋体" w:cs="宋体"/>
      <w:color w:val="FF0000"/>
      <w:sz w:val="22"/>
      <w:szCs w:val="22"/>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4890</Words>
  <Characters>5202</Characters>
  <Lines>0</Lines>
  <Paragraphs>0</Paragraphs>
  <TotalTime>2</TotalTime>
  <ScaleCrop>false</ScaleCrop>
  <LinksUpToDate>false</LinksUpToDate>
  <CharactersWithSpaces>5203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2022-07-18T08:02:00Z</dcterms:created>
  <dc:creator>无敌</dc:creator>
  <cp:lastModifiedBy>pro</cp:lastModifiedBy>
  <dcterms:modified xsi:type="dcterms:W3CDTF">2025-02-11T03:17:01Z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4267D6C7B745404FA536E0FE8F9567E3</vt:lpwstr>
  </property>
</Properties>
</file>