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ind w:firstLine="8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“两城一区及副中心”区域范围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未来科学城规划四至范围：东至京承高速，与顺义区接壤，距首都机场 10 公里；南至回南北路，距北五环10公里，与回龙观、天通苑两大居住区相邻；西至京新高速，与海淀区接壤；北至北六环。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怀柔科学城规划四至范围： 北至京密引水渠，通怀路，南至京沈客运专线怀柔南站、京密路，西至雁西湖联络线、京通铁路，东至规划城西路。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北京经济技术开发区四至范围：核心区东至京津高速公路，西至西环路，南至凉水河，北至北环路。路东新区东至大羊坊路及通马路，南至凉水河，西至京津塘路，北至大羊坊路。南部新区东至凉水河，南至六环路及新凤河，西至旧头路，北至旧头路。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北京城市副中心规划四至范围：</w:t>
      </w:r>
      <w:r>
        <w:rPr>
          <w:rFonts w:ascii="仿宋_GB2312" w:eastAsia="仿宋_GB2312"/>
          <w:color w:val="auto"/>
          <w:sz w:val="32"/>
          <w:szCs w:val="32"/>
        </w:rPr>
        <w:t>通州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全域</w:t>
      </w:r>
      <w:r>
        <w:rPr>
          <w:rFonts w:ascii="仿宋_GB2312" w:eastAsia="仿宋_GB2312"/>
          <w:color w:val="auto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MWJjOWQ3YzJiYzFmZTM3MzJmMGM2ODQwMzljN2YifQ=="/>
  </w:docVars>
  <w:rsids>
    <w:rsidRoot w:val="003600C4"/>
    <w:rsid w:val="002F11A6"/>
    <w:rsid w:val="003600C4"/>
    <w:rsid w:val="00431040"/>
    <w:rsid w:val="00583E7F"/>
    <w:rsid w:val="007D3429"/>
    <w:rsid w:val="009D79EB"/>
    <w:rsid w:val="00BC5779"/>
    <w:rsid w:val="00D87325"/>
    <w:rsid w:val="51DD09BE"/>
    <w:rsid w:val="E89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299</Characters>
  <Lines>2</Lines>
  <Paragraphs>1</Paragraphs>
  <TotalTime>14</TotalTime>
  <ScaleCrop>false</ScaleCrop>
  <LinksUpToDate>false</LinksUpToDate>
  <CharactersWithSpaces>302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2022-12-16T14:11:00Z</dcterms:created>
  <dc:creator>ZQ</dc:creator>
  <cp:lastModifiedBy>左倩</cp:lastModifiedBy>
  <dcterms:modified xsi:type="dcterms:W3CDTF">2023-04-23T05:22:23Z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355A27F1B267421A8A52716BFA147C8A_12</vt:lpwstr>
  </property>
</Properties>
</file>