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附件1</w:t>
      </w:r>
    </w:p>
    <w:p>
      <w:pPr>
        <w:topLinePunct/>
        <w:snapToGrid w:val="0"/>
        <w:spacing w:line="560" w:lineRule="exact"/>
        <w:ind w:firstLine="420"/>
        <w:jc w:val="left"/>
        <w:rPr>
          <w:rFonts w:ascii="黑体" w:hAnsi="黑体" w:eastAsia="黑体" w:cs="方正小标宋简体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ascii="方正小标宋_GBK" w:hAnsi="Nimbus Roman No9 L" w:eastAsia="方正小标宋_GBK" w:cs="方正小标宋简体"/>
          <w:spacing w:val="-20"/>
          <w:sz w:val="44"/>
          <w:szCs w:val="44"/>
        </w:rPr>
      </w:pPr>
      <w:r>
        <w:rPr>
          <w:rFonts w:hint="eastAsia" w:ascii="方正小标宋_GBK" w:hAnsi="Nimbus Roman No9 L" w:eastAsia="方正小标宋_GBK" w:cs="方正小标宋简体"/>
          <w:sz w:val="44"/>
          <w:szCs w:val="44"/>
        </w:rPr>
        <w:t>2023年度京津冀基础研究合作专项</w:t>
      </w:r>
      <w:r>
        <w:rPr>
          <w:rFonts w:hint="eastAsia" w:ascii="方正小标宋_GBK" w:hAnsi="Nimbus Roman No9 L" w:eastAsia="方正小标宋_GBK" w:cs="方正小标宋简体"/>
          <w:spacing w:val="-20"/>
          <w:sz w:val="44"/>
          <w:szCs w:val="44"/>
        </w:rPr>
        <w:t>指南</w:t>
      </w:r>
    </w:p>
    <w:p>
      <w:pPr>
        <w:widowControl/>
        <w:snapToGrid w:val="0"/>
        <w:spacing w:line="560" w:lineRule="exact"/>
        <w:ind w:firstLine="642" w:firstLineChars="200"/>
        <w:jc w:val="center"/>
        <w:rPr>
          <w:rFonts w:ascii="Nimbus Roman No9 L" w:hAnsi="Nimbus Roman No9 L" w:eastAsia="仿宋_GB2312" w:cs="仿宋"/>
          <w:b/>
          <w:bCs/>
          <w:sz w:val="32"/>
          <w:szCs w:val="32"/>
        </w:rPr>
      </w:pPr>
    </w:p>
    <w:p>
      <w:pPr>
        <w:widowControl/>
        <w:snapToGrid w:val="0"/>
        <w:spacing w:beforeLines="50"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为了贯彻落</w:t>
      </w:r>
      <w:bookmarkStart w:id="0" w:name="_GoBack"/>
      <w:bookmarkEnd w:id="0"/>
      <w:r>
        <w:rPr>
          <w:rFonts w:hint="eastAsia" w:ascii="Nimbus Roman No9 L" w:hAnsi="Nimbus Roman No9 L" w:eastAsia="仿宋_GB2312" w:cs="仿宋"/>
          <w:sz w:val="32"/>
          <w:szCs w:val="32"/>
        </w:rPr>
        <w:t>实京津冀协同发展国家战略，2023年重点围绕生物医药领域开展京津冀基础研究合作专项资助工作，探索设立需求导向类指南（指南方向12、13须完成指南绩效指标）。通过充分整合三地生物医药研究和产业优势资源，进一步推动京津冀生物医药领域的技术融合及协同创新。</w:t>
      </w:r>
    </w:p>
    <w:p>
      <w:pPr>
        <w:widowControl/>
        <w:snapToGrid w:val="0"/>
        <w:spacing w:line="560" w:lineRule="exact"/>
        <w:ind w:firstLine="642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指南方向：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1.组织器官再生修复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Cs/>
          <w:sz w:val="32"/>
          <w:szCs w:val="32"/>
        </w:rPr>
        <w:t>面向组织器官再生修复的临床需求，探讨损伤及再生修复机制，开展组织工程、细胞及其衍生物治疗、类器官、基因治疗、生物材料研制、安全性评价等方面研究，探索组织器官再生修复机制和新技术，促进医药健康领域创新发展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2.肿瘤免疫与逃逸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以肿瘤免疫和逃逸为切入点，阐明免疫调控肿瘤逃逸的机制，发现肿瘤干预新靶标，鉴定对肿瘤免疫逃逸及肿瘤免疫治疗具有调控作用的功能性分子，为有效预防和治疗肿瘤提供支撑。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3.肠道微生态与人类重大疾病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针对肠道微生物领域的相关科学问题，开展肠道菌群与宿主相互作用机制、</w:t>
      </w:r>
      <w:r>
        <w:rPr>
          <w:rFonts w:hint="eastAsia" w:ascii="Nimbus Roman No9 L" w:hAnsi="Nimbus Roman No9 L" w:eastAsia="仿宋_GB2312" w:cs="仿宋"/>
          <w:color w:val="000000" w:themeColor="text1"/>
          <w:sz w:val="32"/>
          <w:szCs w:val="32"/>
        </w:rPr>
        <w:t>环境因素与菌群</w:t>
      </w:r>
      <w:r>
        <w:rPr>
          <w:rFonts w:hint="eastAsia" w:ascii="Nimbus Roman No9 L" w:hAnsi="Nimbus Roman No9 L" w:eastAsia="仿宋_GB2312" w:cs="仿宋"/>
          <w:sz w:val="32"/>
          <w:szCs w:val="32"/>
        </w:rPr>
        <w:t>互作、肠道微生态时空作用、肠道菌群数据挖掘等研究，阐明肠道菌群与人类重大疾病的关系及其调控机制，提升疾病预防和治疗水平。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color w:val="000000" w:themeColor="text1"/>
          <w:sz w:val="32"/>
          <w:szCs w:val="32"/>
        </w:rPr>
        <w:t>4.</w:t>
      </w: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自身免疫病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面向自身免疫病临床诊断和治疗需求，研究自身免疫病的发生与免疫失衡的分子机制，寻找免疫干预新靶点和新型生物标志物，探索免疫治疗等新方法、新技术，为自身免疫病的诊断和治疗提供科技支撑。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5.新型药物递送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面向创新药物递释技术发展需求，开展新型药物递释系统的设计优化，包括口服纳米递释系统、靶向蛋白降解载体系统、大分子药物载体递释系统等，研究阐明吸收转运机制、药物载体递释机制等，</w:t>
      </w:r>
      <w:r>
        <w:rPr>
          <w:rFonts w:hint="eastAsia" w:ascii="Nimbus Roman No9 L" w:hAnsi="Nimbus Roman No9 L" w:eastAsia="仿宋_GB2312"/>
          <w:sz w:val="32"/>
          <w:szCs w:val="32"/>
        </w:rPr>
        <w:t>为创新药物制剂提供科技支撑</w:t>
      </w:r>
      <w:r>
        <w:rPr>
          <w:rFonts w:hint="eastAsia" w:ascii="Nimbus Roman No9 L" w:hAnsi="Nimbus Roman No9 L" w:eastAsia="仿宋_GB2312" w:cs="仿宋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6.中药新品种研究</w:t>
      </w:r>
    </w:p>
    <w:p>
      <w:pPr>
        <w:widowControl/>
        <w:snapToGrid w:val="0"/>
        <w:spacing w:line="560" w:lineRule="exact"/>
        <w:ind w:firstLine="636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基于临床具有显著疗效的经典名方或中药验方，采用多学科融合技术，开展活性物质基础、配伍规律和作用机制研究，构建符合中医药特色的创新中药新技术，为研发具有临床价值的中药新品种提供支撑。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7.中医治则治法研究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针对肿瘤或其它重大疾病等中医临床优势病种和治疗需求，采用多学科方法探究治则治法的生物学基础，揭示中医药理论的科学内涵，为中医药理论指导下的临床治疗方案提供技术支持。</w:t>
      </w:r>
    </w:p>
    <w:p>
      <w:pPr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8.神经精神类疾病</w:t>
      </w:r>
      <w:r>
        <w:rPr>
          <w:rFonts w:ascii="Nimbus Roman No9 L" w:hAnsi="Nimbus Roman No9 L" w:eastAsia="仿宋_GB2312" w:cs="仿宋"/>
          <w:b/>
          <w:bCs/>
          <w:sz w:val="32"/>
          <w:szCs w:val="32"/>
        </w:rPr>
        <w:t>的机制</w:t>
      </w: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研究</w:t>
      </w:r>
    </w:p>
    <w:p>
      <w:pPr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针对神经精神类重大疾病，尤其是青少年孤独症（自闭症）、抑郁症等，</w:t>
      </w:r>
      <w:r>
        <w:rPr>
          <w:rFonts w:ascii="Nimbus Roman No9 L" w:hAnsi="Nimbus Roman No9 L" w:eastAsia="仿宋_GB2312" w:cs="仿宋"/>
          <w:sz w:val="32"/>
          <w:szCs w:val="32"/>
        </w:rPr>
        <w:t>阐明病理机制和发展规律，发现可以用于</w:t>
      </w:r>
      <w:r>
        <w:rPr>
          <w:rFonts w:hint="eastAsia" w:ascii="Nimbus Roman No9 L" w:hAnsi="Nimbus Roman No9 L" w:eastAsia="仿宋_GB2312" w:cs="仿宋"/>
          <w:sz w:val="32"/>
          <w:szCs w:val="32"/>
        </w:rPr>
        <w:t>神经精神类疾病</w:t>
      </w:r>
      <w:r>
        <w:rPr>
          <w:rFonts w:ascii="Nimbus Roman No9 L" w:hAnsi="Nimbus Roman No9 L" w:eastAsia="仿宋_GB2312" w:cs="仿宋"/>
          <w:sz w:val="32"/>
          <w:szCs w:val="32"/>
        </w:rPr>
        <w:t>早期筛查和诊断的生物</w:t>
      </w:r>
      <w:r>
        <w:rPr>
          <w:rFonts w:hint="eastAsia" w:ascii="Nimbus Roman No9 L" w:hAnsi="Nimbus Roman No9 L" w:eastAsia="仿宋_GB2312" w:cs="仿宋"/>
          <w:sz w:val="32"/>
          <w:szCs w:val="32"/>
        </w:rPr>
        <w:t>标志</w:t>
      </w:r>
      <w:r>
        <w:rPr>
          <w:rFonts w:ascii="Nimbus Roman No9 L" w:hAnsi="Nimbus Roman No9 L" w:eastAsia="仿宋_GB2312" w:cs="仿宋"/>
          <w:sz w:val="32"/>
          <w:szCs w:val="32"/>
        </w:rPr>
        <w:t>物，</w:t>
      </w:r>
      <w:r>
        <w:rPr>
          <w:rFonts w:hint="eastAsia" w:ascii="Nimbus Roman No9 L" w:hAnsi="Nimbus Roman No9 L" w:eastAsia="仿宋_GB2312" w:cs="仿宋"/>
          <w:sz w:val="32"/>
          <w:szCs w:val="32"/>
        </w:rPr>
        <w:t>为该类疾病</w:t>
      </w:r>
      <w:r>
        <w:rPr>
          <w:rFonts w:ascii="Nimbus Roman No9 L" w:hAnsi="Nimbus Roman No9 L" w:eastAsia="仿宋_GB2312" w:cs="仿宋"/>
          <w:sz w:val="32"/>
          <w:szCs w:val="32"/>
        </w:rPr>
        <w:t>大规模筛查与辅助诊断</w:t>
      </w:r>
      <w:r>
        <w:rPr>
          <w:rFonts w:hint="eastAsia" w:ascii="Nimbus Roman No9 L" w:hAnsi="Nimbus Roman No9 L" w:eastAsia="仿宋_GB2312" w:cs="仿宋"/>
          <w:sz w:val="32"/>
          <w:szCs w:val="32"/>
        </w:rPr>
        <w:t>治疗提供科技支撑。</w:t>
      </w:r>
    </w:p>
    <w:p>
      <w:pPr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9.合成生物学与医药新技术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利用合成生物学新技术，制备新型抗体、蛋白质、细胞等，改造病毒和细菌等工具，降低毒副作用和免疫源性等，提升疾病诊断和治疗水平，为生物医药的升级换代提供支撑。</w:t>
      </w:r>
    </w:p>
    <w:p>
      <w:pPr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10.肿瘤耐药机制与靶标发现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以抗肿瘤药物为切入点，阐明肿瘤患者耐药相关机制，鉴定对肿瘤转移和耐药具有调控作用的功能性分子，发现疗效预测的生物标志物及干预新靶点，为研发新型抗肿瘤药物提供支撑。</w:t>
      </w:r>
    </w:p>
    <w:p>
      <w:pPr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11.代谢微环境与心血管病研究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以代谢微环境为切入点，研究心血管系统疾病发生发展过程中小分子代谢产物，解析其在心血管细胞代谢、免疫反应及心血管损伤与重构的作用与调控机理，为研发新型药物、基因和干细胞治疗等提供支撑。</w:t>
      </w:r>
    </w:p>
    <w:p>
      <w:pPr>
        <w:adjustRightInd w:val="0"/>
        <w:snapToGrid w:val="0"/>
        <w:spacing w:line="60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12.智能脊柱手术机器人系统创新研究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面向脊柱手术的精准化、微创化与智能化临床需求，重点突破脊柱手术</w:t>
      </w:r>
      <w:r>
        <w:rPr>
          <w:rFonts w:ascii="Times New Roman" w:hAnsi="Times New Roman" w:eastAsia="仿宋_GB2312"/>
          <w:kern w:val="0"/>
          <w:sz w:val="32"/>
          <w:szCs w:val="32"/>
        </w:rPr>
        <w:t>机器人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系统构型创新</w:t>
      </w:r>
      <w:r>
        <w:rPr>
          <w:rFonts w:ascii="Times New Roman" w:hAnsi="Times New Roman" w:eastAsia="仿宋_GB2312"/>
          <w:kern w:val="0"/>
          <w:sz w:val="32"/>
          <w:szCs w:val="32"/>
        </w:rPr>
        <w:t>设计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、力触交互控制、安全与可靠性等共性关键技术，研制高精度灵活智能脊柱手术机器人系统并应用。</w:t>
      </w:r>
    </w:p>
    <w:p>
      <w:pPr>
        <w:widowControl/>
        <w:adjustRightInd w:val="0"/>
        <w:snapToGrid w:val="0"/>
        <w:spacing w:line="600" w:lineRule="exact"/>
        <w:ind w:firstLine="642" w:firstLineChars="200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绩效目标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: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研发</w:t>
      </w:r>
      <w:r>
        <w:rPr>
          <w:rFonts w:ascii="Times New Roman" w:hAnsi="Times New Roman" w:eastAsia="仿宋_GB2312"/>
          <w:kern w:val="0"/>
          <w:sz w:val="32"/>
          <w:szCs w:val="32"/>
        </w:rPr>
        <w:t>用于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脊柱</w:t>
      </w:r>
      <w:r>
        <w:rPr>
          <w:rFonts w:ascii="Times New Roman" w:hAnsi="Times New Roman" w:eastAsia="仿宋_GB2312"/>
          <w:kern w:val="0"/>
          <w:sz w:val="32"/>
          <w:szCs w:val="32"/>
        </w:rPr>
        <w:t>手术的智能手术机器人系统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（自由度不低于6，系统定位误差不大于1</w:t>
      </w:r>
      <w:r>
        <w:rPr>
          <w:rFonts w:ascii="Times New Roman" w:hAnsi="Times New Roman" w:eastAsia="仿宋_GB2312"/>
          <w:kern w:val="0"/>
          <w:sz w:val="32"/>
          <w:szCs w:val="32"/>
        </w:rPr>
        <w:t>.0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mm）</w:t>
      </w:r>
      <w:r>
        <w:rPr>
          <w:rFonts w:ascii="Times New Roman" w:hAnsi="Times New Roman" w:eastAsia="仿宋_GB2312"/>
          <w:kern w:val="0"/>
          <w:sz w:val="32"/>
          <w:szCs w:val="32"/>
        </w:rPr>
        <w:t>，在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代表性</w:t>
      </w:r>
      <w:r>
        <w:rPr>
          <w:rFonts w:ascii="Times New Roman" w:hAnsi="Times New Roman" w:eastAsia="仿宋_GB2312"/>
          <w:kern w:val="0"/>
          <w:sz w:val="32"/>
          <w:szCs w:val="32"/>
        </w:rPr>
        <w:t>动物实验中完成示范应用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完成临床前研究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本方向鼓励科研团队与企业联合申报。</w:t>
      </w:r>
    </w:p>
    <w:p>
      <w:pPr>
        <w:adjustRightInd w:val="0"/>
        <w:snapToGrid w:val="0"/>
        <w:spacing w:line="600" w:lineRule="exact"/>
        <w:ind w:firstLine="642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13.抗衰老中药研制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在中医药抗衰老相关理论指导下，基于古代典籍及现代文献构建数字化、标准化的抗衰老方药数据库，对防治衰老方药进行分类和数据挖掘，形成候选方剂，阐明其抗衰老药效物质基础并揭示作用机制，促进创新药物转化。</w:t>
      </w:r>
    </w:p>
    <w:p>
      <w:pPr>
        <w:adjustRightInd w:val="0"/>
        <w:snapToGrid w:val="0"/>
        <w:spacing w:line="600" w:lineRule="exact"/>
        <w:ind w:firstLine="642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绩效目标：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获得1-2首抗衰老药效物质基础与作用机制明确的候选方剂。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②完成至少1项候选方剂的临床前研究，提交临床试验申请并获得受理号。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本方向鼓励科研团队与企业联合申报。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3305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kMzEwN2I3NmVlZTVjYTVkZGI1MzlmODZhMWU1NWEifQ=="/>
  </w:docVars>
  <w:rsids>
    <w:rsidRoot w:val="00E97984"/>
    <w:rsid w:val="000452B6"/>
    <w:rsid w:val="00047B54"/>
    <w:rsid w:val="00066F65"/>
    <w:rsid w:val="00075D4E"/>
    <w:rsid w:val="00076326"/>
    <w:rsid w:val="0008286C"/>
    <w:rsid w:val="00083F51"/>
    <w:rsid w:val="000A3334"/>
    <w:rsid w:val="000A51EB"/>
    <w:rsid w:val="000F3182"/>
    <w:rsid w:val="00100166"/>
    <w:rsid w:val="0011121C"/>
    <w:rsid w:val="00136199"/>
    <w:rsid w:val="00145518"/>
    <w:rsid w:val="001479CF"/>
    <w:rsid w:val="00154B24"/>
    <w:rsid w:val="00165805"/>
    <w:rsid w:val="00166D4E"/>
    <w:rsid w:val="00185186"/>
    <w:rsid w:val="00210699"/>
    <w:rsid w:val="00245BA1"/>
    <w:rsid w:val="00251EE5"/>
    <w:rsid w:val="00255F05"/>
    <w:rsid w:val="002A52E5"/>
    <w:rsid w:val="002C3B3E"/>
    <w:rsid w:val="002D11AD"/>
    <w:rsid w:val="0030067E"/>
    <w:rsid w:val="00314B55"/>
    <w:rsid w:val="00345413"/>
    <w:rsid w:val="00355B1A"/>
    <w:rsid w:val="003561AB"/>
    <w:rsid w:val="00387238"/>
    <w:rsid w:val="003915F6"/>
    <w:rsid w:val="003A79A8"/>
    <w:rsid w:val="003B77D3"/>
    <w:rsid w:val="003C3A9D"/>
    <w:rsid w:val="003E1C6F"/>
    <w:rsid w:val="003E34E5"/>
    <w:rsid w:val="0040665D"/>
    <w:rsid w:val="004635B3"/>
    <w:rsid w:val="004A3058"/>
    <w:rsid w:val="004C147C"/>
    <w:rsid w:val="004E1380"/>
    <w:rsid w:val="004F2541"/>
    <w:rsid w:val="00505DA7"/>
    <w:rsid w:val="0051191A"/>
    <w:rsid w:val="00512BDB"/>
    <w:rsid w:val="005514C2"/>
    <w:rsid w:val="00553B24"/>
    <w:rsid w:val="00573ACE"/>
    <w:rsid w:val="005B7A1C"/>
    <w:rsid w:val="005F0A42"/>
    <w:rsid w:val="005F7641"/>
    <w:rsid w:val="006033AF"/>
    <w:rsid w:val="00620C08"/>
    <w:rsid w:val="00631A0A"/>
    <w:rsid w:val="00636AED"/>
    <w:rsid w:val="00671218"/>
    <w:rsid w:val="006805A1"/>
    <w:rsid w:val="00686941"/>
    <w:rsid w:val="006C2288"/>
    <w:rsid w:val="006C68F2"/>
    <w:rsid w:val="006E09D3"/>
    <w:rsid w:val="00702C57"/>
    <w:rsid w:val="007034B9"/>
    <w:rsid w:val="007272C1"/>
    <w:rsid w:val="00742954"/>
    <w:rsid w:val="00765DF5"/>
    <w:rsid w:val="00767A28"/>
    <w:rsid w:val="00782F22"/>
    <w:rsid w:val="00790C87"/>
    <w:rsid w:val="00793715"/>
    <w:rsid w:val="007C639E"/>
    <w:rsid w:val="007E1A7E"/>
    <w:rsid w:val="007E2601"/>
    <w:rsid w:val="007F7D48"/>
    <w:rsid w:val="00831837"/>
    <w:rsid w:val="00835AC8"/>
    <w:rsid w:val="008366B7"/>
    <w:rsid w:val="0089286A"/>
    <w:rsid w:val="00894439"/>
    <w:rsid w:val="008B33A1"/>
    <w:rsid w:val="008E2A70"/>
    <w:rsid w:val="008F694E"/>
    <w:rsid w:val="00903BE3"/>
    <w:rsid w:val="00907E12"/>
    <w:rsid w:val="00946786"/>
    <w:rsid w:val="00956543"/>
    <w:rsid w:val="0096241D"/>
    <w:rsid w:val="009719F1"/>
    <w:rsid w:val="00975A34"/>
    <w:rsid w:val="009A1851"/>
    <w:rsid w:val="009A4DD6"/>
    <w:rsid w:val="009A6EEA"/>
    <w:rsid w:val="009B347E"/>
    <w:rsid w:val="009E56A4"/>
    <w:rsid w:val="00A10E43"/>
    <w:rsid w:val="00A2024C"/>
    <w:rsid w:val="00A30FC0"/>
    <w:rsid w:val="00A332DC"/>
    <w:rsid w:val="00A70943"/>
    <w:rsid w:val="00A9009F"/>
    <w:rsid w:val="00AB5951"/>
    <w:rsid w:val="00B47644"/>
    <w:rsid w:val="00B60614"/>
    <w:rsid w:val="00B92142"/>
    <w:rsid w:val="00BA4722"/>
    <w:rsid w:val="00BB110C"/>
    <w:rsid w:val="00BE36C3"/>
    <w:rsid w:val="00C0041A"/>
    <w:rsid w:val="00C046F2"/>
    <w:rsid w:val="00C1546D"/>
    <w:rsid w:val="00C3357F"/>
    <w:rsid w:val="00C452B9"/>
    <w:rsid w:val="00C73665"/>
    <w:rsid w:val="00C76D4E"/>
    <w:rsid w:val="00CA5196"/>
    <w:rsid w:val="00CA72D4"/>
    <w:rsid w:val="00CB38D5"/>
    <w:rsid w:val="00CD11F7"/>
    <w:rsid w:val="00CD4537"/>
    <w:rsid w:val="00CF6645"/>
    <w:rsid w:val="00D035E1"/>
    <w:rsid w:val="00D165C3"/>
    <w:rsid w:val="00D17BFF"/>
    <w:rsid w:val="00D24D2E"/>
    <w:rsid w:val="00D25D4A"/>
    <w:rsid w:val="00D43FED"/>
    <w:rsid w:val="00D66F38"/>
    <w:rsid w:val="00D75C3A"/>
    <w:rsid w:val="00D83BA6"/>
    <w:rsid w:val="00D85C64"/>
    <w:rsid w:val="00DA4B67"/>
    <w:rsid w:val="00DA4DF0"/>
    <w:rsid w:val="00DB7142"/>
    <w:rsid w:val="00DB7483"/>
    <w:rsid w:val="00DC074C"/>
    <w:rsid w:val="00DC49E1"/>
    <w:rsid w:val="00DE510F"/>
    <w:rsid w:val="00DE5261"/>
    <w:rsid w:val="00E176CF"/>
    <w:rsid w:val="00E431CE"/>
    <w:rsid w:val="00E604BA"/>
    <w:rsid w:val="00E6491C"/>
    <w:rsid w:val="00E95224"/>
    <w:rsid w:val="00E955DB"/>
    <w:rsid w:val="00E97984"/>
    <w:rsid w:val="00EC348F"/>
    <w:rsid w:val="00EC6BEE"/>
    <w:rsid w:val="00F311BC"/>
    <w:rsid w:val="00F76791"/>
    <w:rsid w:val="00F903B6"/>
    <w:rsid w:val="00FA14EC"/>
    <w:rsid w:val="00FD3010"/>
    <w:rsid w:val="00FF4FDC"/>
    <w:rsid w:val="013B6C0A"/>
    <w:rsid w:val="019601E9"/>
    <w:rsid w:val="07375FFA"/>
    <w:rsid w:val="07444A9D"/>
    <w:rsid w:val="086F25F3"/>
    <w:rsid w:val="099A5C14"/>
    <w:rsid w:val="0BE72EDA"/>
    <w:rsid w:val="0ED16381"/>
    <w:rsid w:val="0F17581E"/>
    <w:rsid w:val="104E550C"/>
    <w:rsid w:val="1235739A"/>
    <w:rsid w:val="13214A06"/>
    <w:rsid w:val="14DB66E6"/>
    <w:rsid w:val="178D5376"/>
    <w:rsid w:val="1A303232"/>
    <w:rsid w:val="1AA41296"/>
    <w:rsid w:val="1CE65B08"/>
    <w:rsid w:val="1FAA11BB"/>
    <w:rsid w:val="21625AFD"/>
    <w:rsid w:val="233615B8"/>
    <w:rsid w:val="242811A3"/>
    <w:rsid w:val="26245CE1"/>
    <w:rsid w:val="269C7EDA"/>
    <w:rsid w:val="28FD795C"/>
    <w:rsid w:val="2A396040"/>
    <w:rsid w:val="2AFE098F"/>
    <w:rsid w:val="2C4602D1"/>
    <w:rsid w:val="2FD158E4"/>
    <w:rsid w:val="300B7231"/>
    <w:rsid w:val="3086323A"/>
    <w:rsid w:val="321A536B"/>
    <w:rsid w:val="32F67C86"/>
    <w:rsid w:val="33727ACB"/>
    <w:rsid w:val="33824B11"/>
    <w:rsid w:val="341367EE"/>
    <w:rsid w:val="363C1B4E"/>
    <w:rsid w:val="3733439C"/>
    <w:rsid w:val="396068E1"/>
    <w:rsid w:val="3F437CA3"/>
    <w:rsid w:val="4158584D"/>
    <w:rsid w:val="43210CF0"/>
    <w:rsid w:val="435E64B2"/>
    <w:rsid w:val="460B0295"/>
    <w:rsid w:val="46603AD2"/>
    <w:rsid w:val="48A24858"/>
    <w:rsid w:val="49C209BD"/>
    <w:rsid w:val="506322E8"/>
    <w:rsid w:val="532D37AB"/>
    <w:rsid w:val="53964186"/>
    <w:rsid w:val="56E5608B"/>
    <w:rsid w:val="57746B53"/>
    <w:rsid w:val="59FD7BA5"/>
    <w:rsid w:val="5C2A3AF8"/>
    <w:rsid w:val="5C7C1CCD"/>
    <w:rsid w:val="5CA3354E"/>
    <w:rsid w:val="5F17071C"/>
    <w:rsid w:val="60E12287"/>
    <w:rsid w:val="625E0B40"/>
    <w:rsid w:val="649F051F"/>
    <w:rsid w:val="65C3242E"/>
    <w:rsid w:val="65DA67E4"/>
    <w:rsid w:val="6672542F"/>
    <w:rsid w:val="667DA012"/>
    <w:rsid w:val="6B8442B9"/>
    <w:rsid w:val="6BA80561"/>
    <w:rsid w:val="6DE91ADD"/>
    <w:rsid w:val="72903982"/>
    <w:rsid w:val="73EB2A13"/>
    <w:rsid w:val="75B53A2D"/>
    <w:rsid w:val="75DA7EB0"/>
    <w:rsid w:val="76812FB9"/>
    <w:rsid w:val="78A53CD3"/>
    <w:rsid w:val="79015EAB"/>
    <w:rsid w:val="7E597139"/>
    <w:rsid w:val="7F0F7867"/>
    <w:rsid w:val="BFFF98F2"/>
    <w:rsid w:val="EDB66DB5"/>
    <w:rsid w:val="EF8FE1F8"/>
    <w:rsid w:val="F35B362F"/>
    <w:rsid w:val="FFB0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tabs>
        <w:tab w:val="left" w:pos="180"/>
        <w:tab w:val="left" w:pos="1440"/>
      </w:tabs>
      <w:spacing w:line="500" w:lineRule="exact"/>
    </w:pPr>
    <w:rPr>
      <w:rFonts w:ascii="楷体_GB2312" w:hAnsi="Times New Roman" w:eastAsia="楷体_GB2312"/>
      <w:sz w:val="32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页眉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批注框文本 Char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1448</Characters>
  <Lines>12</Lines>
  <Paragraphs>3</Paragraphs>
  <TotalTime>0</TotalTime>
  <ScaleCrop>false</ScaleCrop>
  <LinksUpToDate>false</LinksUpToDate>
  <CharactersWithSpaces>1699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2023-08-08T04:07:00Z</dcterms:created>
  <dc:creator>77931</dc:creator>
  <cp:lastModifiedBy>lu123</cp:lastModifiedBy>
  <cp:lastPrinted>2023-07-18T00:49:00Z</cp:lastPrinted>
  <dcterms:modified xsi:type="dcterms:W3CDTF">2023-08-10T13:13:51Z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8EBAB672166843488ACEE6C5E69FF745</vt:lpwstr>
  </property>
</Properties>
</file>