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630"/>
        </w:tabs>
        <w:spacing w:line="360" w:lineRule="auto"/>
        <w:rPr>
          <w:rFonts w:ascii="黑体" w:hAnsi="黑体" w:eastAsia="黑体"/>
          <w:color w:val="000000"/>
          <w:sz w:val="32"/>
          <w:highlight w:val="none"/>
        </w:rPr>
      </w:pPr>
      <w:bookmarkStart w:id="0" w:name="_GoBack"/>
    </w:p>
    <w:p>
      <w:pPr>
        <w:spacing w:line="560" w:lineRule="exact"/>
        <w:jc w:val="center"/>
        <w:rPr>
          <w:rFonts w:ascii="方正小标宋简体" w:eastAsia="方正小标宋简体"/>
          <w:color w:val="000000"/>
          <w:sz w:val="36"/>
          <w:szCs w:val="36"/>
          <w:highlight w:val="none"/>
        </w:rPr>
      </w:pPr>
      <w:r>
        <w:rPr>
          <w:rFonts w:hint="eastAsia" w:ascii="方正小标宋简体" w:eastAsia="方正小标宋简体"/>
          <w:color w:val="000000"/>
          <w:sz w:val="36"/>
          <w:szCs w:val="36"/>
          <w:highlight w:val="none"/>
        </w:rPr>
        <w:t>北京市自然科学基金委员会办公室202</w:t>
      </w:r>
      <w:r>
        <w:rPr>
          <w:rFonts w:ascii="方正小标宋简体" w:eastAsia="方正小标宋简体"/>
          <w:color w:val="000000"/>
          <w:sz w:val="36"/>
          <w:szCs w:val="36"/>
          <w:highlight w:val="none"/>
        </w:rPr>
        <w:t>1</w:t>
      </w:r>
      <w:r>
        <w:rPr>
          <w:rFonts w:hint="eastAsia" w:ascii="方正小标宋简体" w:eastAsia="方正小标宋简体"/>
          <w:color w:val="000000"/>
          <w:sz w:val="36"/>
          <w:szCs w:val="36"/>
          <w:highlight w:val="none"/>
        </w:rPr>
        <w:t>年财政预算信息</w:t>
      </w:r>
    </w:p>
    <w:p>
      <w:pPr>
        <w:spacing w:line="240" w:lineRule="exact"/>
        <w:jc w:val="center"/>
        <w:rPr>
          <w:rFonts w:ascii="方正小标宋简体" w:eastAsia="方正小标宋简体"/>
          <w:color w:val="000000"/>
          <w:sz w:val="32"/>
          <w:szCs w:val="32"/>
          <w:highlight w:val="none"/>
        </w:rPr>
      </w:pPr>
    </w:p>
    <w:p>
      <w:pPr>
        <w:spacing w:line="560" w:lineRule="exact"/>
        <w:jc w:val="center"/>
        <w:rPr>
          <w:rFonts w:ascii="方正小标宋简体" w:eastAsia="方正小标宋简体"/>
          <w:color w:val="000000"/>
          <w:sz w:val="32"/>
          <w:szCs w:val="32"/>
          <w:highlight w:val="none"/>
        </w:rPr>
      </w:pPr>
      <w:r>
        <w:rPr>
          <w:rFonts w:hint="eastAsia" w:ascii="方正小标宋简体" w:eastAsia="方正小标宋简体"/>
          <w:color w:val="000000"/>
          <w:sz w:val="32"/>
          <w:szCs w:val="32"/>
          <w:highlight w:val="none"/>
        </w:rPr>
        <w:t>目   录</w:t>
      </w:r>
    </w:p>
    <w:p>
      <w:pPr>
        <w:spacing w:line="240" w:lineRule="exact"/>
        <w:jc w:val="center"/>
        <w:rPr>
          <w:rFonts w:ascii="方正小标宋简体" w:eastAsia="方正小标宋简体"/>
          <w:color w:val="000000"/>
          <w:sz w:val="32"/>
          <w:szCs w:val="32"/>
          <w:highlight w:val="none"/>
        </w:rPr>
      </w:pPr>
    </w:p>
    <w:p>
      <w:pPr>
        <w:spacing w:line="560" w:lineRule="exact"/>
        <w:rPr>
          <w:rFonts w:ascii="仿宋_GB2312" w:eastAsia="仿宋_GB2312"/>
          <w:color w:val="000000"/>
          <w:sz w:val="32"/>
          <w:szCs w:val="32"/>
          <w:highlight w:val="none"/>
        </w:rPr>
      </w:pPr>
      <w:r>
        <w:rPr>
          <w:rFonts w:hint="eastAsia" w:ascii="仿宋_GB2312" w:eastAsia="仿宋_GB2312"/>
          <w:color w:val="000000"/>
          <w:sz w:val="32"/>
          <w:szCs w:val="32"/>
          <w:highlight w:val="none"/>
        </w:rPr>
        <w:t>第一部分 202</w:t>
      </w:r>
      <w:r>
        <w:rPr>
          <w:rFonts w:ascii="仿宋_GB2312" w:eastAsia="仿宋_GB2312"/>
          <w:color w:val="000000"/>
          <w:sz w:val="32"/>
          <w:szCs w:val="32"/>
          <w:highlight w:val="none"/>
        </w:rPr>
        <w:t>1</w:t>
      </w:r>
      <w:r>
        <w:rPr>
          <w:rFonts w:hint="eastAsia" w:ascii="仿宋_GB2312" w:eastAsia="仿宋_GB2312"/>
          <w:color w:val="000000"/>
          <w:sz w:val="32"/>
          <w:szCs w:val="32"/>
          <w:highlight w:val="none"/>
        </w:rPr>
        <w:t>年度单位预算情况说明</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一、单位基本情况</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二、202</w:t>
      </w:r>
      <w:r>
        <w:rPr>
          <w:rFonts w:ascii="仿宋_GB2312" w:eastAsia="仿宋_GB2312"/>
          <w:color w:val="000000"/>
          <w:sz w:val="32"/>
          <w:szCs w:val="32"/>
          <w:highlight w:val="none"/>
        </w:rPr>
        <w:t>1</w:t>
      </w:r>
      <w:r>
        <w:rPr>
          <w:rFonts w:hint="eastAsia" w:ascii="仿宋_GB2312" w:eastAsia="仿宋_GB2312"/>
          <w:color w:val="000000"/>
          <w:sz w:val="32"/>
          <w:szCs w:val="32"/>
          <w:highlight w:val="none"/>
        </w:rPr>
        <w:t>年收入及支出总体情况</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三、主要支出情况</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四、单位“三公”经费财政拨款预算说明</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五、其他情况说明</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六、名词解释</w:t>
      </w:r>
    </w:p>
    <w:p>
      <w:pPr>
        <w:spacing w:line="560" w:lineRule="exact"/>
        <w:rPr>
          <w:rFonts w:ascii="仿宋_GB2312" w:eastAsia="仿宋_GB2312"/>
          <w:color w:val="000000"/>
          <w:sz w:val="32"/>
          <w:szCs w:val="32"/>
          <w:highlight w:val="none"/>
        </w:rPr>
      </w:pPr>
      <w:r>
        <w:rPr>
          <w:rFonts w:hint="eastAsia" w:ascii="仿宋_GB2312" w:eastAsia="仿宋_GB2312"/>
          <w:color w:val="000000"/>
          <w:sz w:val="32"/>
          <w:szCs w:val="32"/>
          <w:highlight w:val="none"/>
        </w:rPr>
        <w:t>第二部分 202</w:t>
      </w:r>
      <w:r>
        <w:rPr>
          <w:rFonts w:ascii="仿宋_GB2312" w:eastAsia="仿宋_GB2312"/>
          <w:color w:val="000000"/>
          <w:sz w:val="32"/>
          <w:szCs w:val="32"/>
          <w:highlight w:val="none"/>
        </w:rPr>
        <w:t>1</w:t>
      </w:r>
      <w:r>
        <w:rPr>
          <w:rFonts w:hint="eastAsia" w:ascii="仿宋_GB2312" w:eastAsia="仿宋_GB2312"/>
          <w:color w:val="000000"/>
          <w:sz w:val="32"/>
          <w:szCs w:val="32"/>
          <w:highlight w:val="none"/>
        </w:rPr>
        <w:t>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一、收支总表</w:t>
      </w:r>
    </w:p>
    <w:p>
      <w:pPr>
        <w:autoSpaceDE w:val="0"/>
        <w:autoSpaceDN w:val="0"/>
        <w:adjustRightInd w:val="0"/>
        <w:spacing w:line="560" w:lineRule="exact"/>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 xml:space="preserve">    二、收入总表    </w:t>
      </w:r>
    </w:p>
    <w:p>
      <w:pPr>
        <w:autoSpaceDE w:val="0"/>
        <w:autoSpaceDN w:val="0"/>
        <w:adjustRightInd w:val="0"/>
        <w:spacing w:line="560" w:lineRule="exact"/>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 xml:space="preserve">    三、支出总表</w:t>
      </w:r>
    </w:p>
    <w:p>
      <w:pPr>
        <w:autoSpaceDE w:val="0"/>
        <w:autoSpaceDN w:val="0"/>
        <w:adjustRightInd w:val="0"/>
        <w:spacing w:line="560" w:lineRule="exact"/>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 xml:space="preserve">    四、政府采购预算明细表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五、财政拨款收支总表</w:t>
      </w:r>
    </w:p>
    <w:p>
      <w:pPr>
        <w:autoSpaceDE w:val="0"/>
        <w:autoSpaceDN w:val="0"/>
        <w:adjustRightInd w:val="0"/>
        <w:spacing w:line="560" w:lineRule="exact"/>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 xml:space="preserve">    六、一般公共预算财政拨款支出表</w:t>
      </w:r>
    </w:p>
    <w:p>
      <w:pPr>
        <w:autoSpaceDE w:val="0"/>
        <w:autoSpaceDN w:val="0"/>
        <w:adjustRightInd w:val="0"/>
        <w:spacing w:line="560" w:lineRule="exact"/>
        <w:jc w:val="left"/>
        <w:rPr>
          <w:rFonts w:ascii="仿宋_GB2312" w:eastAsia="仿宋_GB2312" w:cs="宋体"/>
          <w:color w:val="000000"/>
          <w:spacing w:val="-16"/>
          <w:kern w:val="0"/>
          <w:sz w:val="32"/>
          <w:szCs w:val="32"/>
          <w:highlight w:val="none"/>
          <w:lang w:val="zh-CN"/>
        </w:rPr>
      </w:pPr>
      <w:r>
        <w:rPr>
          <w:rFonts w:hint="eastAsia" w:ascii="仿宋_GB2312" w:eastAsia="仿宋_GB2312" w:cs="宋体"/>
          <w:color w:val="000000"/>
          <w:kern w:val="0"/>
          <w:sz w:val="32"/>
          <w:szCs w:val="32"/>
          <w:highlight w:val="none"/>
          <w:lang w:val="zh-CN"/>
        </w:rPr>
        <w:t xml:space="preserve">    </w:t>
      </w:r>
      <w:r>
        <w:rPr>
          <w:rFonts w:hint="eastAsia" w:ascii="仿宋_GB2312" w:eastAsia="仿宋_GB2312" w:cs="宋体"/>
          <w:color w:val="000000"/>
          <w:spacing w:val="-16"/>
          <w:kern w:val="0"/>
          <w:sz w:val="32"/>
          <w:szCs w:val="32"/>
          <w:highlight w:val="none"/>
          <w:lang w:val="zh-CN"/>
        </w:rPr>
        <w:t>七、一般公共预算财政拨款基本支出表</w:t>
      </w:r>
    </w:p>
    <w:p>
      <w:pPr>
        <w:autoSpaceDE w:val="0"/>
        <w:autoSpaceDN w:val="0"/>
        <w:adjustRightInd w:val="0"/>
        <w:spacing w:line="560" w:lineRule="exact"/>
        <w:ind w:firstLine="720" w:firstLineChars="250"/>
        <w:jc w:val="left"/>
        <w:rPr>
          <w:rFonts w:ascii="仿宋_GB2312" w:eastAsia="仿宋_GB2312" w:cs="宋体"/>
          <w:color w:val="000000"/>
          <w:spacing w:val="-16"/>
          <w:kern w:val="0"/>
          <w:sz w:val="32"/>
          <w:szCs w:val="32"/>
          <w:highlight w:val="none"/>
          <w:lang w:val="zh-CN"/>
        </w:rPr>
      </w:pPr>
      <w:r>
        <w:rPr>
          <w:rFonts w:hint="eastAsia" w:ascii="仿宋_GB2312" w:eastAsia="仿宋_GB2312" w:cs="宋体"/>
          <w:color w:val="000000"/>
          <w:spacing w:val="-16"/>
          <w:kern w:val="0"/>
          <w:sz w:val="32"/>
          <w:szCs w:val="32"/>
          <w:highlight w:val="none"/>
          <w:lang w:val="zh-CN"/>
        </w:rPr>
        <w:t>八、一般公共预算财政拨款项目支出表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highlight w:val="none"/>
          <w:lang w:val="zh-CN"/>
        </w:rPr>
      </w:pPr>
      <w:r>
        <w:rPr>
          <w:rFonts w:hint="eastAsia" w:ascii="仿宋_GB2312" w:eastAsia="仿宋_GB2312" w:cs="宋体"/>
          <w:color w:val="000000"/>
          <w:kern w:val="0"/>
          <w:sz w:val="32"/>
          <w:szCs w:val="32"/>
          <w:highlight w:val="none"/>
          <w:lang w:val="zh-CN"/>
        </w:rPr>
        <w:t>十、国有资本经营预算财政拨款支出表</w:t>
      </w:r>
    </w:p>
    <w:p>
      <w:pPr>
        <w:autoSpaceDE w:val="0"/>
        <w:autoSpaceDN w:val="0"/>
        <w:adjustRightInd w:val="0"/>
        <w:spacing w:line="560" w:lineRule="exact"/>
        <w:ind w:firstLine="576"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spacing w:val="-16"/>
          <w:kern w:val="0"/>
          <w:sz w:val="32"/>
          <w:szCs w:val="32"/>
          <w:highlight w:val="none"/>
          <w:lang w:val="zh-CN"/>
        </w:rPr>
        <w:t>十一、财政拨款（含一般公共预算和政府性基金预算）</w:t>
      </w:r>
      <w:r>
        <w:rPr>
          <w:rFonts w:hint="eastAsia" w:ascii="仿宋_GB2312" w:eastAsia="仿宋_GB2312" w:cs="宋体"/>
          <w:color w:val="000000"/>
          <w:kern w:val="0"/>
          <w:sz w:val="32"/>
          <w:szCs w:val="32"/>
          <w:highlight w:val="none"/>
          <w:lang w:val="zh-CN"/>
        </w:rPr>
        <w:t>“三公”经费支出表</w:t>
      </w:r>
    </w:p>
    <w:p>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highlight w:val="none"/>
          <w:lang w:val="zh-CN"/>
        </w:rPr>
      </w:pPr>
      <w:r>
        <w:rPr>
          <w:rFonts w:hint="eastAsia" w:ascii="仿宋_GB2312" w:eastAsia="仿宋_GB2312" w:cs="宋体"/>
          <w:color w:val="000000"/>
          <w:spacing w:val="-18"/>
          <w:kern w:val="0"/>
          <w:sz w:val="32"/>
          <w:szCs w:val="32"/>
          <w:highlight w:val="none"/>
          <w:lang w:val="zh-CN"/>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sectPr>
          <w:footerReference r:id="rId3" w:type="default"/>
          <w:footerReference r:id="rId4" w:type="even"/>
          <w:pgSz w:w="11906" w:h="16838"/>
          <w:pgMar w:top="1911" w:right="1474" w:bottom="1882" w:left="1588" w:header="851" w:footer="1531" w:gutter="0"/>
          <w:pgNumType w:fmt="numberInDash"/>
          <w:cols w:space="720" w:num="1"/>
          <w:docGrid w:type="lines" w:linePitch="312" w:charSpace="0"/>
        </w:sectPr>
      </w:pPr>
      <w:r>
        <w:rPr>
          <w:rFonts w:hint="eastAsia" w:ascii="仿宋_GB2312" w:eastAsia="仿宋_GB2312" w:cs="宋体"/>
          <w:color w:val="000000"/>
          <w:kern w:val="0"/>
          <w:sz w:val="32"/>
          <w:szCs w:val="32"/>
          <w:highlight w:val="none"/>
          <w:lang w:val="zh-CN"/>
        </w:rPr>
        <w:t>十三、项目支出绩效目标申报表</w:t>
      </w:r>
    </w:p>
    <w:p>
      <w:pPr>
        <w:spacing w:line="560" w:lineRule="exact"/>
        <w:jc w:val="center"/>
        <w:rPr>
          <w:rFonts w:ascii="方正小标宋简体" w:eastAsia="方正小标宋简体"/>
          <w:color w:val="000000"/>
          <w:sz w:val="36"/>
          <w:szCs w:val="36"/>
          <w:highlight w:val="none"/>
        </w:rPr>
      </w:pPr>
      <w:r>
        <w:rPr>
          <w:rFonts w:hint="eastAsia" w:ascii="方正小标宋简体" w:eastAsia="方正小标宋简体"/>
          <w:color w:val="000000"/>
          <w:sz w:val="36"/>
          <w:szCs w:val="36"/>
          <w:highlight w:val="none"/>
        </w:rPr>
        <w:t>第一部分  2021年北京市自然科学基金委员会</w:t>
      </w:r>
    </w:p>
    <w:p>
      <w:pPr>
        <w:spacing w:line="560" w:lineRule="exact"/>
        <w:jc w:val="center"/>
        <w:rPr>
          <w:rFonts w:ascii="方正小标宋简体" w:eastAsia="方正小标宋简体"/>
          <w:color w:val="000000"/>
          <w:sz w:val="32"/>
          <w:szCs w:val="32"/>
          <w:highlight w:val="none"/>
        </w:rPr>
      </w:pPr>
      <w:r>
        <w:rPr>
          <w:rFonts w:hint="eastAsia" w:ascii="方正小标宋简体" w:eastAsia="方正小标宋简体"/>
          <w:color w:val="000000"/>
          <w:sz w:val="36"/>
          <w:szCs w:val="36"/>
          <w:highlight w:val="none"/>
        </w:rPr>
        <w:t>办公室预算情况说明</w:t>
      </w:r>
    </w:p>
    <w:p>
      <w:pPr>
        <w:spacing w:line="360" w:lineRule="auto"/>
        <w:rPr>
          <w:rFonts w:ascii="仿宋_GB2312" w:eastAsia="仿宋_GB2312"/>
          <w:color w:val="000000"/>
          <w:sz w:val="32"/>
          <w:szCs w:val="32"/>
          <w:highlight w:val="none"/>
        </w:rPr>
      </w:pPr>
    </w:p>
    <w:p>
      <w:pPr>
        <w:spacing w:line="560" w:lineRule="exact"/>
        <w:ind w:firstLine="640" w:firstLineChars="200"/>
        <w:rPr>
          <w:rFonts w:ascii="黑体" w:hAnsi="黑体" w:eastAsia="黑体"/>
          <w:color w:val="000000"/>
          <w:sz w:val="32"/>
          <w:szCs w:val="32"/>
          <w:highlight w:val="none"/>
        </w:rPr>
      </w:pPr>
      <w:r>
        <w:rPr>
          <w:rFonts w:hint="eastAsia" w:ascii="黑体" w:hAnsi="黑体" w:eastAsia="黑体"/>
          <w:color w:val="000000"/>
          <w:sz w:val="32"/>
          <w:szCs w:val="32"/>
          <w:highlight w:val="none"/>
        </w:rPr>
        <w:t>一、单位基本情况</w:t>
      </w:r>
    </w:p>
    <w:p>
      <w:pPr>
        <w:spacing w:line="560" w:lineRule="exact"/>
        <w:ind w:firstLine="555"/>
        <w:rPr>
          <w:rFonts w:ascii="楷体" w:hAnsi="楷体" w:eastAsia="楷体"/>
          <w:sz w:val="32"/>
          <w:szCs w:val="32"/>
          <w:highlight w:val="none"/>
        </w:rPr>
      </w:pPr>
      <w:r>
        <w:rPr>
          <w:rFonts w:hint="eastAsia" w:ascii="楷体" w:hAnsi="楷体" w:eastAsia="楷体"/>
          <w:sz w:val="32"/>
          <w:szCs w:val="32"/>
          <w:highlight w:val="none"/>
        </w:rPr>
        <w:t>（一）部门机构设置、职责</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北京市自然科学基金委员会办公室是北京市科学技术委员会参照公务员法管理的直属事业单位，承担北京市自然科学基金委员会的日常工作，负责北京市自然科学基金资助工作的具体实施和管理，下设5个</w:t>
      </w:r>
      <w:r>
        <w:rPr>
          <w:rFonts w:ascii="仿宋_GB2312" w:eastAsia="仿宋_GB2312"/>
          <w:sz w:val="32"/>
          <w:szCs w:val="32"/>
          <w:highlight w:val="none"/>
        </w:rPr>
        <w:t>部门，分别</w:t>
      </w:r>
      <w:r>
        <w:rPr>
          <w:rFonts w:hint="eastAsia" w:ascii="仿宋_GB2312" w:eastAsia="仿宋_GB2312"/>
          <w:sz w:val="32"/>
          <w:szCs w:val="32"/>
          <w:highlight w:val="none"/>
        </w:rPr>
        <w:t>为</w:t>
      </w:r>
      <w:r>
        <w:rPr>
          <w:rFonts w:ascii="仿宋_GB2312" w:eastAsia="仿宋_GB2312"/>
          <w:sz w:val="32"/>
          <w:szCs w:val="32"/>
          <w:highlight w:val="none"/>
        </w:rPr>
        <w:t>：</w:t>
      </w:r>
      <w:r>
        <w:rPr>
          <w:rFonts w:hint="eastAsia" w:ascii="仿宋_GB2312" w:eastAsia="仿宋_GB2312"/>
          <w:sz w:val="32"/>
          <w:szCs w:val="32"/>
          <w:highlight w:val="none"/>
        </w:rPr>
        <w:t>研究发展部、学科管理部、项目与成果管理部、</w:t>
      </w:r>
      <w:r>
        <w:rPr>
          <w:rFonts w:ascii="仿宋_GB2312" w:eastAsia="仿宋_GB2312"/>
          <w:sz w:val="32"/>
          <w:szCs w:val="32"/>
          <w:highlight w:val="none"/>
        </w:rPr>
        <w:t>业务拓展部</w:t>
      </w:r>
      <w:r>
        <w:rPr>
          <w:rFonts w:hint="eastAsia" w:ascii="仿宋_GB2312" w:eastAsia="仿宋_GB2312"/>
          <w:sz w:val="32"/>
          <w:szCs w:val="32"/>
          <w:highlight w:val="none"/>
        </w:rPr>
        <w:t>和综合管理部。</w:t>
      </w:r>
    </w:p>
    <w:p>
      <w:pPr>
        <w:spacing w:line="560" w:lineRule="exact"/>
        <w:ind w:firstLine="555"/>
        <w:rPr>
          <w:rFonts w:ascii="楷体" w:hAnsi="楷体" w:eastAsia="楷体"/>
          <w:sz w:val="32"/>
          <w:szCs w:val="32"/>
          <w:highlight w:val="none"/>
        </w:rPr>
      </w:pPr>
      <w:r>
        <w:rPr>
          <w:rFonts w:hint="eastAsia" w:ascii="楷体" w:hAnsi="楷体" w:eastAsia="楷体"/>
          <w:sz w:val="32"/>
          <w:szCs w:val="32"/>
          <w:highlight w:val="none"/>
        </w:rPr>
        <w:t>（二）人员构成情况</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北京市自然科学基金委员会办公室单位事业编制22人，实际16人；聘用人员(其他聘用人员--临时工)</w:t>
      </w:r>
      <w:r>
        <w:rPr>
          <w:rFonts w:ascii="仿宋_GB2312" w:eastAsia="仿宋_GB2312"/>
          <w:sz w:val="32"/>
          <w:szCs w:val="32"/>
          <w:highlight w:val="none"/>
        </w:rPr>
        <w:t>2</w:t>
      </w:r>
      <w:r>
        <w:rPr>
          <w:rFonts w:hint="eastAsia" w:ascii="仿宋_GB2312" w:eastAsia="仿宋_GB2312"/>
          <w:sz w:val="32"/>
          <w:szCs w:val="32"/>
          <w:highlight w:val="none"/>
        </w:rPr>
        <w:t>人。离退休人员5人，其中：离休0人，退休5人。</w:t>
      </w:r>
    </w:p>
    <w:p>
      <w:pPr>
        <w:spacing w:line="560" w:lineRule="exact"/>
        <w:ind w:firstLine="640" w:firstLineChars="200"/>
        <w:rPr>
          <w:rFonts w:ascii="黑体" w:hAnsi="黑体" w:eastAsia="黑体"/>
          <w:color w:val="000000"/>
          <w:sz w:val="32"/>
          <w:szCs w:val="32"/>
          <w:highlight w:val="none"/>
        </w:rPr>
      </w:pPr>
      <w:r>
        <w:rPr>
          <w:rFonts w:hint="eastAsia" w:ascii="黑体" w:hAnsi="黑体" w:eastAsia="黑体"/>
          <w:color w:val="000000"/>
          <w:sz w:val="32"/>
          <w:szCs w:val="32"/>
          <w:highlight w:val="none"/>
        </w:rPr>
        <w:t>二、2021年收入及支出总体情况</w:t>
      </w:r>
    </w:p>
    <w:p>
      <w:pPr>
        <w:spacing w:line="560" w:lineRule="exact"/>
        <w:ind w:firstLine="640" w:firstLineChars="200"/>
        <w:rPr>
          <w:rFonts w:ascii="楷体" w:hAnsi="楷体" w:eastAsia="楷体"/>
          <w:sz w:val="32"/>
          <w:szCs w:val="32"/>
          <w:highlight w:val="none"/>
        </w:rPr>
      </w:pPr>
      <w:r>
        <w:rPr>
          <w:rFonts w:hint="eastAsia" w:ascii="楷体" w:hAnsi="楷体" w:eastAsia="楷体"/>
          <w:sz w:val="32"/>
          <w:szCs w:val="32"/>
          <w:highlight w:val="none"/>
        </w:rPr>
        <w:t>（一）收入预算说明</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2021年收入预算33</w:t>
      </w:r>
      <w:r>
        <w:rPr>
          <w:rFonts w:ascii="仿宋_GB2312" w:eastAsia="仿宋_GB2312"/>
          <w:sz w:val="32"/>
          <w:szCs w:val="32"/>
          <w:highlight w:val="none"/>
        </w:rPr>
        <w:t>,</w:t>
      </w:r>
      <w:r>
        <w:rPr>
          <w:rFonts w:hint="eastAsia" w:ascii="仿宋_GB2312" w:eastAsia="仿宋_GB2312"/>
          <w:sz w:val="32"/>
          <w:szCs w:val="32"/>
          <w:highlight w:val="none"/>
        </w:rPr>
        <w:t>174.46万元，比2020年33</w:t>
      </w:r>
      <w:r>
        <w:rPr>
          <w:rFonts w:ascii="仿宋_GB2312" w:eastAsia="仿宋_GB2312"/>
          <w:sz w:val="32"/>
          <w:szCs w:val="32"/>
          <w:highlight w:val="none"/>
        </w:rPr>
        <w:t>,</w:t>
      </w:r>
      <w:r>
        <w:rPr>
          <w:rFonts w:hint="eastAsia" w:ascii="仿宋_GB2312" w:eastAsia="仿宋_GB2312"/>
          <w:sz w:val="32"/>
          <w:szCs w:val="32"/>
          <w:highlight w:val="none"/>
        </w:rPr>
        <w:t>056.68万元增加117.7</w:t>
      </w:r>
      <w:r>
        <w:rPr>
          <w:rFonts w:ascii="仿宋_GB2312" w:eastAsia="仿宋_GB2312"/>
          <w:sz w:val="32"/>
          <w:szCs w:val="32"/>
          <w:highlight w:val="none"/>
        </w:rPr>
        <w:t>8</w:t>
      </w:r>
      <w:r>
        <w:rPr>
          <w:rFonts w:hint="eastAsia" w:ascii="仿宋_GB2312" w:eastAsia="仿宋_GB2312"/>
          <w:sz w:val="32"/>
          <w:szCs w:val="32"/>
          <w:highlight w:val="none"/>
        </w:rPr>
        <w:t>万元，增长0.36%，其中：财政拨款31</w:t>
      </w:r>
      <w:r>
        <w:rPr>
          <w:rFonts w:ascii="仿宋_GB2312" w:eastAsia="仿宋_GB2312"/>
          <w:sz w:val="32"/>
          <w:szCs w:val="32"/>
          <w:highlight w:val="none"/>
        </w:rPr>
        <w:t>,</w:t>
      </w:r>
      <w:r>
        <w:rPr>
          <w:rFonts w:hint="eastAsia" w:ascii="仿宋_GB2312" w:eastAsia="仿宋_GB2312"/>
          <w:sz w:val="32"/>
          <w:szCs w:val="32"/>
          <w:highlight w:val="none"/>
        </w:rPr>
        <w:t>874.46万元,比2020年31</w:t>
      </w:r>
      <w:r>
        <w:rPr>
          <w:rFonts w:ascii="仿宋_GB2312" w:eastAsia="仿宋_GB2312"/>
          <w:sz w:val="32"/>
          <w:szCs w:val="32"/>
          <w:highlight w:val="none"/>
        </w:rPr>
        <w:t>,</w:t>
      </w:r>
      <w:r>
        <w:rPr>
          <w:rFonts w:hint="eastAsia" w:ascii="仿宋_GB2312" w:eastAsia="仿宋_GB2312"/>
          <w:sz w:val="32"/>
          <w:szCs w:val="32"/>
          <w:highlight w:val="none"/>
        </w:rPr>
        <w:t>656.68万元增加217.7</w:t>
      </w:r>
      <w:r>
        <w:rPr>
          <w:rFonts w:ascii="仿宋_GB2312" w:eastAsia="仿宋_GB2312"/>
          <w:sz w:val="32"/>
          <w:szCs w:val="32"/>
          <w:highlight w:val="none"/>
        </w:rPr>
        <w:t>8</w:t>
      </w:r>
      <w:r>
        <w:rPr>
          <w:rFonts w:hint="eastAsia" w:ascii="仿宋_GB2312" w:eastAsia="仿宋_GB2312"/>
          <w:sz w:val="32"/>
          <w:szCs w:val="32"/>
          <w:highlight w:val="none"/>
        </w:rPr>
        <w:t>万元，</w:t>
      </w:r>
      <w:r>
        <w:rPr>
          <w:rFonts w:ascii="仿宋_GB2312" w:eastAsia="仿宋_GB2312"/>
          <w:sz w:val="32"/>
          <w:szCs w:val="32"/>
          <w:highlight w:val="none"/>
        </w:rPr>
        <w:t>主要原因是</w:t>
      </w:r>
      <w:r>
        <w:rPr>
          <w:rFonts w:hint="eastAsia" w:ascii="仿宋_GB2312" w:eastAsia="仿宋_GB2312"/>
          <w:sz w:val="32"/>
          <w:szCs w:val="32"/>
          <w:highlight w:val="none"/>
        </w:rPr>
        <w:t>信息系统运行维护项目2021年预算申报条件成熟，</w:t>
      </w:r>
      <w:r>
        <w:rPr>
          <w:rFonts w:ascii="仿宋_GB2312" w:eastAsia="仿宋_GB2312"/>
          <w:sz w:val="32"/>
          <w:szCs w:val="32"/>
          <w:highlight w:val="none"/>
        </w:rPr>
        <w:t>纳入年初预算批复</w:t>
      </w:r>
      <w:r>
        <w:rPr>
          <w:rFonts w:hint="eastAsia" w:ascii="仿宋_GB2312" w:eastAsia="仿宋_GB2312"/>
          <w:sz w:val="32"/>
          <w:szCs w:val="32"/>
          <w:highlight w:val="none"/>
        </w:rPr>
        <w:t>；统筹使用结余资金安排预算0万元,与2020年持平；其他资金1</w:t>
      </w:r>
      <w:r>
        <w:rPr>
          <w:rFonts w:ascii="仿宋_GB2312" w:eastAsia="仿宋_GB2312"/>
          <w:sz w:val="32"/>
          <w:szCs w:val="32"/>
          <w:highlight w:val="none"/>
        </w:rPr>
        <w:t>,</w:t>
      </w:r>
      <w:r>
        <w:rPr>
          <w:rFonts w:hint="eastAsia" w:ascii="仿宋_GB2312" w:eastAsia="仿宋_GB2312"/>
          <w:sz w:val="32"/>
          <w:szCs w:val="32"/>
          <w:highlight w:val="none"/>
        </w:rPr>
        <w:t>300</w:t>
      </w:r>
      <w:r>
        <w:rPr>
          <w:rFonts w:ascii="仿宋_GB2312" w:eastAsia="仿宋_GB2312"/>
          <w:sz w:val="32"/>
          <w:szCs w:val="32"/>
          <w:highlight w:val="none"/>
        </w:rPr>
        <w:t>.00</w:t>
      </w:r>
      <w:r>
        <w:rPr>
          <w:rFonts w:hint="eastAsia" w:ascii="仿宋_GB2312" w:eastAsia="仿宋_GB2312"/>
          <w:sz w:val="32"/>
          <w:szCs w:val="32"/>
          <w:highlight w:val="none"/>
        </w:rPr>
        <w:t>万元,比2020年1</w:t>
      </w:r>
      <w:r>
        <w:rPr>
          <w:rFonts w:ascii="仿宋_GB2312" w:eastAsia="仿宋_GB2312"/>
          <w:sz w:val="32"/>
          <w:szCs w:val="32"/>
          <w:highlight w:val="none"/>
        </w:rPr>
        <w:t>,</w:t>
      </w:r>
      <w:r>
        <w:rPr>
          <w:rFonts w:hint="eastAsia" w:ascii="仿宋_GB2312" w:eastAsia="仿宋_GB2312"/>
          <w:sz w:val="32"/>
          <w:szCs w:val="32"/>
          <w:highlight w:val="none"/>
        </w:rPr>
        <w:t>400</w:t>
      </w:r>
      <w:r>
        <w:rPr>
          <w:rFonts w:ascii="仿宋_GB2312" w:eastAsia="仿宋_GB2312"/>
          <w:sz w:val="32"/>
          <w:szCs w:val="32"/>
          <w:highlight w:val="none"/>
        </w:rPr>
        <w:t>.00</w:t>
      </w:r>
      <w:r>
        <w:rPr>
          <w:rFonts w:hint="eastAsia" w:ascii="仿宋_GB2312" w:eastAsia="仿宋_GB2312"/>
          <w:sz w:val="32"/>
          <w:szCs w:val="32"/>
          <w:highlight w:val="none"/>
        </w:rPr>
        <w:t>万元减少100</w:t>
      </w:r>
      <w:r>
        <w:rPr>
          <w:rFonts w:ascii="仿宋_GB2312" w:eastAsia="仿宋_GB2312"/>
          <w:sz w:val="32"/>
          <w:szCs w:val="32"/>
          <w:highlight w:val="none"/>
        </w:rPr>
        <w:t>.00</w:t>
      </w:r>
      <w:r>
        <w:rPr>
          <w:rFonts w:hint="eastAsia" w:ascii="仿宋_GB2312" w:eastAsia="仿宋_GB2312"/>
          <w:sz w:val="32"/>
          <w:szCs w:val="32"/>
          <w:highlight w:val="none"/>
        </w:rPr>
        <w:t>万元，其他</w:t>
      </w:r>
      <w:r>
        <w:rPr>
          <w:rFonts w:ascii="仿宋_GB2312" w:eastAsia="仿宋_GB2312"/>
          <w:sz w:val="32"/>
          <w:szCs w:val="32"/>
          <w:highlight w:val="none"/>
        </w:rPr>
        <w:t>资金</w:t>
      </w:r>
      <w:r>
        <w:rPr>
          <w:rFonts w:hint="eastAsia" w:ascii="仿宋_GB2312" w:eastAsia="仿宋_GB2312"/>
          <w:sz w:val="32"/>
          <w:szCs w:val="32"/>
          <w:highlight w:val="none"/>
        </w:rPr>
        <w:t>减少</w:t>
      </w:r>
      <w:r>
        <w:rPr>
          <w:rFonts w:ascii="仿宋_GB2312" w:eastAsia="仿宋_GB2312"/>
          <w:sz w:val="32"/>
          <w:szCs w:val="32"/>
          <w:highlight w:val="none"/>
        </w:rPr>
        <w:t>的原因主要是联合基金</w:t>
      </w:r>
      <w:r>
        <w:rPr>
          <w:rFonts w:hint="eastAsia" w:ascii="仿宋_GB2312" w:eastAsia="仿宋_GB2312"/>
          <w:sz w:val="32"/>
          <w:szCs w:val="32"/>
          <w:highlight w:val="none"/>
        </w:rPr>
        <w:t>企业合作方调整。</w:t>
      </w:r>
    </w:p>
    <w:p>
      <w:pPr>
        <w:spacing w:line="560" w:lineRule="exact"/>
        <w:ind w:firstLine="640" w:firstLineChars="200"/>
        <w:rPr>
          <w:rFonts w:ascii="楷体" w:hAnsi="楷体" w:eastAsia="楷体"/>
          <w:sz w:val="32"/>
          <w:szCs w:val="32"/>
          <w:highlight w:val="none"/>
        </w:rPr>
      </w:pPr>
      <w:r>
        <w:rPr>
          <w:rFonts w:hint="eastAsia" w:ascii="楷体" w:hAnsi="楷体" w:eastAsia="楷体"/>
          <w:sz w:val="32"/>
          <w:szCs w:val="32"/>
          <w:highlight w:val="none"/>
        </w:rPr>
        <w:t>（二）支出预算说明</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2021年支出预算33</w:t>
      </w:r>
      <w:r>
        <w:rPr>
          <w:rFonts w:ascii="仿宋_GB2312" w:eastAsia="仿宋_GB2312"/>
          <w:sz w:val="32"/>
          <w:szCs w:val="32"/>
          <w:highlight w:val="none"/>
        </w:rPr>
        <w:t>,</w:t>
      </w:r>
      <w:r>
        <w:rPr>
          <w:rFonts w:hint="eastAsia" w:ascii="仿宋_GB2312" w:eastAsia="仿宋_GB2312"/>
          <w:sz w:val="32"/>
          <w:szCs w:val="32"/>
          <w:highlight w:val="none"/>
        </w:rPr>
        <w:t>174.46万元，其中：基本支出预算598.54万元，占总支出预算1.8</w:t>
      </w:r>
      <w:r>
        <w:rPr>
          <w:rFonts w:ascii="仿宋_GB2312" w:eastAsia="仿宋_GB2312"/>
          <w:sz w:val="32"/>
          <w:szCs w:val="32"/>
          <w:highlight w:val="none"/>
        </w:rPr>
        <w:t>0</w:t>
      </w:r>
      <w:r>
        <w:rPr>
          <w:rFonts w:hint="eastAsia" w:ascii="仿宋_GB2312" w:eastAsia="仿宋_GB2312"/>
          <w:sz w:val="32"/>
          <w:szCs w:val="32"/>
          <w:highlight w:val="none"/>
        </w:rPr>
        <w:t>%，比2020年600.12万元减少1.5</w:t>
      </w:r>
      <w:r>
        <w:rPr>
          <w:rFonts w:ascii="仿宋_GB2312" w:eastAsia="仿宋_GB2312"/>
          <w:sz w:val="32"/>
          <w:szCs w:val="32"/>
          <w:highlight w:val="none"/>
        </w:rPr>
        <w:t>8</w:t>
      </w:r>
      <w:r>
        <w:rPr>
          <w:rFonts w:hint="eastAsia" w:ascii="仿宋_GB2312" w:eastAsia="仿宋_GB2312"/>
          <w:sz w:val="32"/>
          <w:szCs w:val="32"/>
          <w:highlight w:val="none"/>
        </w:rPr>
        <w:t>万元，下降0.26%，</w:t>
      </w:r>
      <w:r>
        <w:rPr>
          <w:rFonts w:ascii="仿宋_GB2312" w:eastAsia="仿宋_GB2312"/>
          <w:sz w:val="32"/>
          <w:szCs w:val="32"/>
          <w:highlight w:val="none"/>
        </w:rPr>
        <w:t>主要原因是</w:t>
      </w:r>
      <w:r>
        <w:rPr>
          <w:rFonts w:hint="eastAsia" w:ascii="仿宋_GB2312" w:eastAsia="仿宋_GB2312"/>
          <w:sz w:val="32"/>
          <w:szCs w:val="32"/>
          <w:highlight w:val="none"/>
        </w:rPr>
        <w:t>落实</w:t>
      </w:r>
      <w:r>
        <w:rPr>
          <w:rFonts w:ascii="仿宋_GB2312" w:eastAsia="仿宋_GB2312"/>
          <w:sz w:val="32"/>
          <w:szCs w:val="32"/>
          <w:highlight w:val="none"/>
        </w:rPr>
        <w:t>“</w:t>
      </w:r>
      <w:r>
        <w:rPr>
          <w:rFonts w:hint="eastAsia" w:ascii="仿宋_GB2312" w:eastAsia="仿宋_GB2312"/>
          <w:sz w:val="32"/>
          <w:szCs w:val="32"/>
          <w:highlight w:val="none"/>
        </w:rPr>
        <w:t>过紧日子、厉行节约</w:t>
      </w:r>
      <w:r>
        <w:rPr>
          <w:rFonts w:ascii="仿宋_GB2312" w:eastAsia="仿宋_GB2312"/>
          <w:sz w:val="32"/>
          <w:szCs w:val="32"/>
          <w:highlight w:val="none"/>
        </w:rPr>
        <w:t>”</w:t>
      </w:r>
      <w:r>
        <w:rPr>
          <w:rFonts w:hint="eastAsia" w:ascii="仿宋_GB2312" w:eastAsia="仿宋_GB2312"/>
          <w:sz w:val="32"/>
          <w:szCs w:val="32"/>
          <w:highlight w:val="none"/>
        </w:rPr>
        <w:t>的预算总体要求，</w:t>
      </w:r>
      <w:r>
        <w:rPr>
          <w:rFonts w:ascii="仿宋_GB2312" w:eastAsia="仿宋_GB2312"/>
          <w:sz w:val="32"/>
          <w:szCs w:val="32"/>
          <w:highlight w:val="none"/>
        </w:rPr>
        <w:t>压减</w:t>
      </w:r>
      <w:r>
        <w:rPr>
          <w:rFonts w:hint="eastAsia" w:ascii="仿宋_GB2312" w:eastAsia="仿宋_GB2312"/>
          <w:sz w:val="32"/>
          <w:szCs w:val="32"/>
          <w:highlight w:val="none"/>
        </w:rPr>
        <w:t>一般性</w:t>
      </w:r>
      <w:r>
        <w:rPr>
          <w:rFonts w:ascii="仿宋_GB2312" w:eastAsia="仿宋_GB2312"/>
          <w:sz w:val="32"/>
          <w:szCs w:val="32"/>
          <w:highlight w:val="none"/>
        </w:rPr>
        <w:t>支出</w:t>
      </w:r>
      <w:r>
        <w:rPr>
          <w:rFonts w:hint="eastAsia" w:ascii="仿宋_GB2312" w:eastAsia="仿宋_GB2312"/>
          <w:sz w:val="32"/>
          <w:szCs w:val="32"/>
          <w:highlight w:val="none"/>
        </w:rPr>
        <w:t>；项目支出预算32</w:t>
      </w:r>
      <w:r>
        <w:rPr>
          <w:rFonts w:ascii="仿宋_GB2312" w:eastAsia="仿宋_GB2312"/>
          <w:sz w:val="32"/>
          <w:szCs w:val="32"/>
          <w:highlight w:val="none"/>
        </w:rPr>
        <w:t>,</w:t>
      </w:r>
      <w:r>
        <w:rPr>
          <w:rFonts w:hint="eastAsia" w:ascii="仿宋_GB2312" w:eastAsia="仿宋_GB2312"/>
          <w:sz w:val="32"/>
          <w:szCs w:val="32"/>
          <w:highlight w:val="none"/>
        </w:rPr>
        <w:t>575.92万元，比2020年32</w:t>
      </w:r>
      <w:r>
        <w:rPr>
          <w:rFonts w:ascii="仿宋_GB2312" w:eastAsia="仿宋_GB2312"/>
          <w:sz w:val="32"/>
          <w:szCs w:val="32"/>
          <w:highlight w:val="none"/>
        </w:rPr>
        <w:t>,</w:t>
      </w:r>
      <w:r>
        <w:rPr>
          <w:rFonts w:hint="eastAsia" w:ascii="仿宋_GB2312" w:eastAsia="仿宋_GB2312"/>
          <w:sz w:val="32"/>
          <w:szCs w:val="32"/>
          <w:highlight w:val="none"/>
        </w:rPr>
        <w:t>456.56万元增加119.36万元，增长0.37%，</w:t>
      </w:r>
      <w:r>
        <w:rPr>
          <w:rFonts w:ascii="仿宋_GB2312" w:eastAsia="仿宋_GB2312"/>
          <w:sz w:val="32"/>
          <w:szCs w:val="32"/>
          <w:highlight w:val="none"/>
        </w:rPr>
        <w:t>主要原因是</w:t>
      </w:r>
      <w:r>
        <w:rPr>
          <w:rFonts w:hint="eastAsia" w:ascii="仿宋_GB2312" w:eastAsia="仿宋_GB2312"/>
          <w:sz w:val="32"/>
          <w:szCs w:val="32"/>
          <w:highlight w:val="none"/>
        </w:rPr>
        <w:t>信息系统运行维护项目2021年预算申报条件成熟，</w:t>
      </w:r>
      <w:r>
        <w:rPr>
          <w:rFonts w:ascii="仿宋_GB2312" w:eastAsia="仿宋_GB2312"/>
          <w:sz w:val="32"/>
          <w:szCs w:val="32"/>
          <w:highlight w:val="none"/>
        </w:rPr>
        <w:t>纳入年初预算批复</w:t>
      </w:r>
      <w:r>
        <w:rPr>
          <w:rFonts w:hint="eastAsia" w:ascii="仿宋_GB2312" w:eastAsia="仿宋_GB2312"/>
          <w:sz w:val="32"/>
          <w:szCs w:val="32"/>
          <w:highlight w:val="none"/>
        </w:rPr>
        <w:t>，在2021年执行完毕</w:t>
      </w:r>
      <w:r>
        <w:rPr>
          <w:rFonts w:hint="eastAsia" w:ascii="仿宋_GB2312" w:eastAsia="仿宋_GB2312"/>
          <w:sz w:val="32"/>
          <w:szCs w:val="32"/>
          <w:highlight w:val="none"/>
        </w:rPr>
        <w:t>。</w:t>
      </w:r>
    </w:p>
    <w:p>
      <w:pPr>
        <w:spacing w:line="560" w:lineRule="exact"/>
        <w:ind w:firstLine="640" w:firstLineChars="200"/>
        <w:rPr>
          <w:rFonts w:ascii="黑体" w:hAnsi="黑体" w:eastAsia="黑体"/>
          <w:color w:val="000000"/>
          <w:sz w:val="32"/>
          <w:szCs w:val="32"/>
          <w:highlight w:val="none"/>
        </w:rPr>
      </w:pPr>
      <w:r>
        <w:rPr>
          <w:rFonts w:hint="eastAsia" w:ascii="黑体" w:hAnsi="黑体" w:eastAsia="黑体"/>
          <w:color w:val="000000"/>
          <w:sz w:val="32"/>
          <w:szCs w:val="32"/>
          <w:highlight w:val="none"/>
        </w:rPr>
        <w:t>三、主要支出情况</w:t>
      </w:r>
    </w:p>
    <w:p>
      <w:pPr>
        <w:spacing w:line="560" w:lineRule="exact"/>
        <w:ind w:firstLine="555"/>
        <w:rPr>
          <w:rFonts w:ascii="仿宋_GB2312" w:hAnsi="楷体" w:eastAsia="仿宋_GB2312"/>
          <w:sz w:val="32"/>
          <w:szCs w:val="32"/>
          <w:highlight w:val="none"/>
        </w:rPr>
      </w:pPr>
      <w:r>
        <w:rPr>
          <w:rFonts w:hint="eastAsia" w:ascii="仿宋_GB2312" w:eastAsia="仿宋_GB2312"/>
          <w:sz w:val="32"/>
          <w:szCs w:val="32"/>
          <w:highlight w:val="none"/>
        </w:rPr>
        <w:t>单位</w:t>
      </w:r>
      <w:r>
        <w:rPr>
          <w:rFonts w:ascii="仿宋_GB2312" w:eastAsia="仿宋_GB2312"/>
          <w:sz w:val="32"/>
          <w:szCs w:val="32"/>
          <w:highlight w:val="none"/>
        </w:rPr>
        <w:t>预算</w:t>
      </w:r>
      <w:r>
        <w:rPr>
          <w:rFonts w:hint="eastAsia" w:ascii="仿宋_GB2312" w:eastAsia="仿宋_GB2312"/>
          <w:sz w:val="32"/>
          <w:szCs w:val="32"/>
          <w:highlight w:val="none"/>
        </w:rPr>
        <w:t>项目支出主要为北京市自然科学</w:t>
      </w:r>
      <w:r>
        <w:rPr>
          <w:rFonts w:ascii="仿宋_GB2312" w:eastAsia="仿宋_GB2312"/>
          <w:sz w:val="32"/>
          <w:szCs w:val="32"/>
          <w:highlight w:val="none"/>
        </w:rPr>
        <w:t>基金项目资助</w:t>
      </w:r>
      <w:r>
        <w:rPr>
          <w:rFonts w:hint="eastAsia" w:ascii="仿宋_GB2312" w:eastAsia="仿宋_GB2312"/>
          <w:sz w:val="32"/>
          <w:szCs w:val="32"/>
          <w:highlight w:val="none"/>
        </w:rPr>
        <w:t>经费。一是通过资助北京市杰出青年科学基金项目和青年科学基金项目，不断强化基础研究战略科技人才培养，重点培养具有国际影响力的青年学术带头人。二是通过资助重点研究专题项目，聚焦“卡脖子”关键核心技术的基础研究问题，推动基础研究学科交叉融合。三是通过资助面上项目和面上专项，聚焦首都重点发展领域需求，为高精尖经济结构构建提供人才支撑和项目储备。四是通过资助联合基金项目，吸引和调动社会资源投入基础研究，围绕“三城一区”及通州等科创中心主平台需求，聚焦重点领域，促进原始创新能力提升。</w:t>
      </w:r>
    </w:p>
    <w:p>
      <w:pPr>
        <w:spacing w:line="560" w:lineRule="exact"/>
        <w:ind w:firstLine="640" w:firstLineChars="200"/>
        <w:rPr>
          <w:rFonts w:ascii="黑体" w:hAnsi="黑体" w:eastAsia="黑体"/>
          <w:color w:val="000000"/>
          <w:sz w:val="32"/>
          <w:szCs w:val="32"/>
          <w:highlight w:val="none"/>
        </w:rPr>
      </w:pPr>
      <w:r>
        <w:rPr>
          <w:rFonts w:hint="eastAsia" w:ascii="黑体" w:hAnsi="黑体" w:eastAsia="黑体"/>
          <w:color w:val="000000"/>
          <w:sz w:val="32"/>
          <w:szCs w:val="32"/>
          <w:highlight w:val="none"/>
        </w:rPr>
        <w:t>四、单位“三公”经费财政拨款预算说明</w:t>
      </w:r>
    </w:p>
    <w:p>
      <w:pPr>
        <w:spacing w:line="560" w:lineRule="exact"/>
        <w:ind w:firstLine="640" w:firstLineChars="200"/>
        <w:rPr>
          <w:rFonts w:ascii="仿宋_GB2312" w:eastAsia="仿宋_GB2312"/>
          <w:sz w:val="32"/>
          <w:szCs w:val="32"/>
          <w:highlight w:val="none"/>
        </w:rPr>
      </w:pPr>
      <w:r>
        <w:rPr>
          <w:rFonts w:hint="eastAsia" w:ascii="仿宋_GB2312" w:eastAsia="仿宋_GB2312"/>
          <w:color w:val="000000"/>
          <w:sz w:val="32"/>
          <w:szCs w:val="32"/>
          <w:highlight w:val="none"/>
        </w:rPr>
        <w:t>2021年“三公”经费</w:t>
      </w:r>
      <w:r>
        <w:rPr>
          <w:rFonts w:hint="eastAsia" w:ascii="仿宋_GB2312" w:eastAsia="仿宋_GB2312"/>
          <w:sz w:val="32"/>
          <w:szCs w:val="32"/>
          <w:highlight w:val="none"/>
        </w:rPr>
        <w:t>财政拨款预算1.26万元。其中：</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1.因公出国（境）费用。2021年预算数0万元。</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2.公务接待费。2021年预算数0万元。</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3.公务用车购置和运行维护费。2021年预算数1.26万元，其中，公务用车购置费2021年预算数0万元；公务用车运行维护费2021年预算数1.26万元，其中：</w:t>
      </w:r>
      <w:r>
        <w:rPr>
          <w:rFonts w:hint="eastAsia" w:ascii="仿宋_GB2312" w:eastAsia="仿宋_GB2312"/>
          <w:color w:val="000000"/>
          <w:sz w:val="32"/>
          <w:szCs w:val="32"/>
          <w:highlight w:val="none"/>
        </w:rPr>
        <w:t>公务用车加油</w:t>
      </w:r>
      <w:r>
        <w:rPr>
          <w:rFonts w:hint="eastAsia" w:ascii="仿宋_GB2312" w:eastAsia="仿宋_GB2312"/>
          <w:sz w:val="32"/>
          <w:szCs w:val="32"/>
          <w:highlight w:val="none"/>
        </w:rPr>
        <w:t>0万元，公务用车维修0.66万元，公务用车保险0.5</w:t>
      </w:r>
      <w:r>
        <w:rPr>
          <w:rFonts w:ascii="仿宋_GB2312" w:eastAsia="仿宋_GB2312"/>
          <w:sz w:val="32"/>
          <w:szCs w:val="32"/>
          <w:highlight w:val="none"/>
        </w:rPr>
        <w:t>0</w:t>
      </w:r>
      <w:r>
        <w:rPr>
          <w:rFonts w:hint="eastAsia" w:ascii="仿宋_GB2312" w:eastAsia="仿宋_GB2312"/>
          <w:sz w:val="32"/>
          <w:szCs w:val="32"/>
          <w:highlight w:val="none"/>
        </w:rPr>
        <w:t>万元，其他0.1</w:t>
      </w:r>
      <w:r>
        <w:rPr>
          <w:rFonts w:ascii="仿宋_GB2312" w:eastAsia="仿宋_GB2312"/>
          <w:sz w:val="32"/>
          <w:szCs w:val="32"/>
          <w:highlight w:val="none"/>
        </w:rPr>
        <w:t>0</w:t>
      </w:r>
      <w:r>
        <w:rPr>
          <w:rFonts w:hint="eastAsia" w:ascii="仿宋_GB2312" w:eastAsia="仿宋_GB2312"/>
          <w:sz w:val="32"/>
          <w:szCs w:val="32"/>
          <w:highlight w:val="none"/>
        </w:rPr>
        <w:t>万元。</w:t>
      </w:r>
    </w:p>
    <w:p>
      <w:pPr>
        <w:spacing w:line="560" w:lineRule="exact"/>
        <w:ind w:firstLine="640" w:firstLineChars="200"/>
        <w:rPr>
          <w:rFonts w:ascii="黑体" w:hAnsi="黑体" w:eastAsia="黑体"/>
          <w:color w:val="000000"/>
          <w:sz w:val="32"/>
          <w:szCs w:val="32"/>
          <w:highlight w:val="none"/>
        </w:rPr>
      </w:pPr>
      <w:r>
        <w:rPr>
          <w:rFonts w:hint="eastAsia" w:ascii="黑体" w:hAnsi="黑体" w:eastAsia="黑体"/>
          <w:color w:val="000000"/>
          <w:sz w:val="32"/>
          <w:szCs w:val="32"/>
          <w:highlight w:val="none"/>
        </w:rPr>
        <w:t>五、其他情况说明</w:t>
      </w:r>
    </w:p>
    <w:p>
      <w:pPr>
        <w:spacing w:line="560" w:lineRule="exact"/>
        <w:ind w:firstLine="480" w:firstLineChars="150"/>
        <w:rPr>
          <w:rFonts w:ascii="楷体_GB2312" w:eastAsia="楷体_GB2312"/>
          <w:color w:val="000000"/>
          <w:sz w:val="32"/>
          <w:szCs w:val="32"/>
          <w:highlight w:val="none"/>
        </w:rPr>
      </w:pPr>
      <w:r>
        <w:rPr>
          <w:rFonts w:hint="eastAsia" w:ascii="楷体_GB2312" w:eastAsia="楷体_GB2312"/>
          <w:color w:val="000000"/>
          <w:sz w:val="32"/>
          <w:szCs w:val="32"/>
          <w:highlight w:val="none"/>
        </w:rPr>
        <w:t>（一）政府采购预算说明</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2021年北京市自然科学基金委员会办公室单位政府采购预算总额332.13万元，其中：政府采购货物预算0万元，政府采购工程预算0万元，政府采购服务预算332.13万元。</w:t>
      </w:r>
    </w:p>
    <w:p>
      <w:pPr>
        <w:spacing w:line="560" w:lineRule="exact"/>
        <w:ind w:firstLine="480" w:firstLineChars="150"/>
        <w:rPr>
          <w:rFonts w:ascii="楷体_GB2312" w:eastAsia="楷体_GB2312"/>
          <w:color w:val="000000"/>
          <w:sz w:val="32"/>
          <w:szCs w:val="32"/>
          <w:highlight w:val="none"/>
        </w:rPr>
      </w:pPr>
      <w:r>
        <w:rPr>
          <w:rFonts w:hint="eastAsia" w:ascii="楷体_GB2312" w:eastAsia="楷体_GB2312"/>
          <w:color w:val="000000"/>
          <w:sz w:val="32"/>
          <w:szCs w:val="32"/>
          <w:highlight w:val="none"/>
        </w:rPr>
        <w:t>（二）政府购买服务预算说明</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sz w:val="32"/>
          <w:szCs w:val="32"/>
          <w:highlight w:val="none"/>
        </w:rPr>
        <w:t>本单位202</w:t>
      </w:r>
      <w:r>
        <w:rPr>
          <w:rFonts w:ascii="仿宋_GB2312" w:eastAsia="仿宋_GB2312"/>
          <w:sz w:val="32"/>
          <w:szCs w:val="32"/>
          <w:highlight w:val="none"/>
        </w:rPr>
        <w:t>1</w:t>
      </w:r>
      <w:r>
        <w:rPr>
          <w:rFonts w:hint="eastAsia" w:ascii="仿宋_GB2312" w:eastAsia="仿宋_GB2312"/>
          <w:sz w:val="32"/>
          <w:szCs w:val="32"/>
          <w:highlight w:val="none"/>
        </w:rPr>
        <w:t>年无政府购买服务的预算</w:t>
      </w:r>
      <w:r>
        <w:rPr>
          <w:rFonts w:hint="eastAsia" w:ascii="仿宋_GB2312" w:eastAsia="仿宋_GB2312"/>
          <w:color w:val="000000"/>
          <w:sz w:val="32"/>
          <w:szCs w:val="32"/>
          <w:highlight w:val="none"/>
        </w:rPr>
        <w:t>。</w:t>
      </w:r>
    </w:p>
    <w:p>
      <w:pPr>
        <w:spacing w:line="560" w:lineRule="exact"/>
        <w:ind w:firstLine="480" w:firstLineChars="150"/>
        <w:rPr>
          <w:rFonts w:ascii="楷体_GB2312" w:eastAsia="楷体_GB2312"/>
          <w:color w:val="000000"/>
          <w:sz w:val="32"/>
          <w:szCs w:val="32"/>
          <w:highlight w:val="none"/>
        </w:rPr>
      </w:pPr>
      <w:r>
        <w:rPr>
          <w:rFonts w:hint="eastAsia" w:ascii="楷体_GB2312" w:eastAsia="楷体_GB2312"/>
          <w:color w:val="000000"/>
          <w:sz w:val="32"/>
          <w:szCs w:val="32"/>
          <w:highlight w:val="none"/>
        </w:rPr>
        <w:t>（三）机关运行经费说明</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2021年本单位的机关运行经费财政拨款预算64.41万元。</w:t>
      </w:r>
    </w:p>
    <w:p>
      <w:pPr>
        <w:spacing w:line="560" w:lineRule="exact"/>
        <w:ind w:firstLine="480" w:firstLineChars="150"/>
        <w:rPr>
          <w:rFonts w:ascii="楷体_GB2312" w:eastAsia="楷体_GB2312"/>
          <w:color w:val="000000"/>
          <w:sz w:val="32"/>
          <w:szCs w:val="32"/>
          <w:highlight w:val="none"/>
        </w:rPr>
      </w:pPr>
      <w:r>
        <w:rPr>
          <w:rFonts w:hint="eastAsia" w:ascii="楷体_GB2312" w:eastAsia="楷体_GB2312"/>
          <w:color w:val="000000"/>
          <w:sz w:val="32"/>
          <w:szCs w:val="32"/>
          <w:highlight w:val="none"/>
        </w:rPr>
        <w:t>（四）项目支出绩效目标情况说明</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2021年，北京市自然科学基金委员会办公室填报绩效目标的预算项目3个，占全部预算项目3个的100%。填报绩效目标的项目支出预算32</w:t>
      </w:r>
      <w:r>
        <w:rPr>
          <w:rFonts w:ascii="仿宋_GB2312" w:eastAsia="仿宋_GB2312"/>
          <w:color w:val="000000"/>
          <w:sz w:val="32"/>
          <w:szCs w:val="32"/>
          <w:highlight w:val="none"/>
        </w:rPr>
        <w:t>,</w:t>
      </w:r>
      <w:r>
        <w:rPr>
          <w:rFonts w:hint="eastAsia" w:ascii="仿宋_GB2312" w:eastAsia="仿宋_GB2312"/>
          <w:color w:val="000000"/>
          <w:sz w:val="32"/>
          <w:szCs w:val="32"/>
          <w:highlight w:val="none"/>
        </w:rPr>
        <w:t>575.92万元，占本单位全部项目支出预算的100%。</w:t>
      </w:r>
    </w:p>
    <w:p>
      <w:pPr>
        <w:spacing w:line="560" w:lineRule="exact"/>
        <w:ind w:firstLine="480" w:firstLineChars="150"/>
        <w:rPr>
          <w:rFonts w:ascii="楷体_GB2312" w:eastAsia="楷体_GB2312"/>
          <w:color w:val="000000"/>
          <w:sz w:val="32"/>
          <w:szCs w:val="32"/>
          <w:highlight w:val="none"/>
        </w:rPr>
      </w:pPr>
      <w:r>
        <w:rPr>
          <w:rFonts w:hint="eastAsia" w:ascii="楷体_GB2312" w:eastAsia="楷体_GB2312"/>
          <w:color w:val="000000"/>
          <w:sz w:val="32"/>
          <w:szCs w:val="32"/>
          <w:highlight w:val="none"/>
        </w:rPr>
        <w:t>（五）重点行政事业性收费情况说明</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本单位2021年无重点行政事业性收费。</w:t>
      </w:r>
    </w:p>
    <w:p>
      <w:pPr>
        <w:spacing w:line="560" w:lineRule="exact"/>
        <w:ind w:firstLine="480" w:firstLineChars="150"/>
        <w:rPr>
          <w:rFonts w:ascii="楷体_GB2312" w:eastAsia="楷体_GB2312"/>
          <w:color w:val="000000"/>
          <w:sz w:val="32"/>
          <w:szCs w:val="32"/>
          <w:highlight w:val="none"/>
        </w:rPr>
      </w:pPr>
      <w:r>
        <w:rPr>
          <w:rFonts w:hint="eastAsia" w:ascii="楷体_GB2312" w:eastAsia="楷体_GB2312"/>
          <w:color w:val="000000"/>
          <w:sz w:val="32"/>
          <w:szCs w:val="32"/>
          <w:highlight w:val="none"/>
        </w:rPr>
        <w:t>（六）国有资本经营预算财政拨款情况说明</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本</w:t>
      </w:r>
      <w:r>
        <w:rPr>
          <w:rFonts w:ascii="仿宋_GB2312" w:eastAsia="仿宋_GB2312"/>
          <w:color w:val="000000"/>
          <w:sz w:val="32"/>
          <w:szCs w:val="32"/>
          <w:highlight w:val="none"/>
        </w:rPr>
        <w:t>单位</w:t>
      </w:r>
      <w:r>
        <w:rPr>
          <w:rFonts w:hint="eastAsia" w:ascii="仿宋_GB2312" w:eastAsia="仿宋_GB2312"/>
          <w:color w:val="000000"/>
          <w:sz w:val="32"/>
          <w:szCs w:val="32"/>
          <w:highlight w:val="none"/>
        </w:rPr>
        <w:t>2021年无国有资本经营预算财政拨款安排的预算。</w:t>
      </w:r>
    </w:p>
    <w:p>
      <w:pPr>
        <w:spacing w:line="560" w:lineRule="exact"/>
        <w:ind w:firstLine="480" w:firstLineChars="150"/>
        <w:rPr>
          <w:rFonts w:ascii="楷体_GB2312" w:eastAsia="楷体_GB2312"/>
          <w:color w:val="000000"/>
          <w:sz w:val="32"/>
          <w:szCs w:val="32"/>
          <w:highlight w:val="none"/>
        </w:rPr>
      </w:pPr>
      <w:r>
        <w:rPr>
          <w:rFonts w:hint="eastAsia" w:ascii="楷体_GB2312" w:eastAsia="楷体_GB2312"/>
          <w:color w:val="000000"/>
          <w:sz w:val="32"/>
          <w:szCs w:val="32"/>
          <w:highlight w:val="none"/>
        </w:rPr>
        <w:t>（七）国有资产占用情况说明</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截至2020年底，北京市自然科学基金委员会办公室共有车辆</w:t>
      </w:r>
      <w:r>
        <w:rPr>
          <w:rFonts w:ascii="仿宋_GB2312" w:eastAsia="仿宋_GB2312"/>
          <w:color w:val="000000"/>
          <w:sz w:val="32"/>
          <w:szCs w:val="32"/>
          <w:highlight w:val="none"/>
        </w:rPr>
        <w:t>1</w:t>
      </w:r>
      <w:r>
        <w:rPr>
          <w:rFonts w:hint="eastAsia" w:ascii="仿宋_GB2312" w:eastAsia="仿宋_GB2312"/>
          <w:color w:val="000000"/>
          <w:sz w:val="32"/>
          <w:szCs w:val="32"/>
          <w:highlight w:val="none"/>
        </w:rPr>
        <w:t>台，原值</w:t>
      </w:r>
      <w:r>
        <w:rPr>
          <w:rFonts w:ascii="仿宋_GB2312" w:eastAsia="仿宋_GB2312"/>
          <w:color w:val="000000"/>
          <w:sz w:val="32"/>
          <w:szCs w:val="32"/>
          <w:highlight w:val="none"/>
        </w:rPr>
        <w:t>17.90</w:t>
      </w:r>
      <w:r>
        <w:rPr>
          <w:rFonts w:hint="eastAsia" w:ascii="仿宋_GB2312" w:eastAsia="仿宋_GB2312"/>
          <w:color w:val="000000"/>
          <w:sz w:val="32"/>
          <w:szCs w:val="32"/>
          <w:highlight w:val="none"/>
        </w:rPr>
        <w:t>万元；单位价值50万元以上的通用设备</w:t>
      </w:r>
      <w:r>
        <w:rPr>
          <w:rFonts w:ascii="仿宋_GB2312" w:eastAsia="仿宋_GB2312"/>
          <w:color w:val="000000"/>
          <w:sz w:val="32"/>
          <w:szCs w:val="32"/>
          <w:highlight w:val="none"/>
        </w:rPr>
        <w:t>2</w:t>
      </w:r>
      <w:r>
        <w:rPr>
          <w:rFonts w:hint="eastAsia" w:ascii="仿宋_GB2312" w:eastAsia="仿宋_GB2312"/>
          <w:color w:val="000000"/>
          <w:sz w:val="32"/>
          <w:szCs w:val="32"/>
          <w:highlight w:val="none"/>
        </w:rPr>
        <w:t>台（套）、原值</w:t>
      </w:r>
      <w:r>
        <w:rPr>
          <w:rFonts w:ascii="仿宋_GB2312" w:eastAsia="仿宋_GB2312"/>
          <w:color w:val="000000"/>
          <w:sz w:val="32"/>
          <w:szCs w:val="32"/>
          <w:highlight w:val="none"/>
        </w:rPr>
        <w:t>313.51</w:t>
      </w:r>
      <w:r>
        <w:rPr>
          <w:rFonts w:hint="eastAsia" w:ascii="仿宋_GB2312" w:eastAsia="仿宋_GB2312"/>
          <w:color w:val="000000"/>
          <w:sz w:val="32"/>
          <w:szCs w:val="32"/>
          <w:highlight w:val="none"/>
        </w:rPr>
        <w:t>万元，无单位价值100万元以上的专用设备。</w:t>
      </w:r>
    </w:p>
    <w:p>
      <w:pPr>
        <w:spacing w:line="560" w:lineRule="exact"/>
        <w:ind w:firstLine="640" w:firstLineChars="200"/>
        <w:rPr>
          <w:rFonts w:ascii="仿宋_GB2312" w:eastAsia="仿宋_GB2312"/>
          <w:color w:val="000000"/>
          <w:spacing w:val="-2"/>
          <w:sz w:val="32"/>
          <w:szCs w:val="32"/>
          <w:highlight w:val="none"/>
        </w:rPr>
      </w:pPr>
      <w:r>
        <w:rPr>
          <w:rFonts w:hint="eastAsia" w:ascii="黑体" w:hAnsi="黑体" w:eastAsia="黑体"/>
          <w:color w:val="000000"/>
          <w:sz w:val="32"/>
          <w:szCs w:val="32"/>
          <w:highlight w:val="none"/>
        </w:rPr>
        <w:t>六、名词解释</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1.基本支出：指为保障机构正常运转、完成日常工作任务而发生的人员支出和公用支出。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2.项目支出：指在基本支出之外为完成特定行政任务或事业发展目标所发生的支出。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3.“三公”经费财政拨款预算数：指本单位当年单位预算安排的因公出国（境）费用、公务接待费、公务用车购置和运行维护费预算数。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5.政府采购：各级国家机关、事业单位和团体组织，使用财政性资金采购依法制定的集中采购目录以内的或者采购限额标准以上的货物、工程和服务的行为，是规范财政支出管理和强化预算约束的有效措施。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ascii="仿宋_GB2312" w:eastAsia="仿宋_GB2312"/>
          <w:color w:val="000000"/>
          <w:sz w:val="32"/>
          <w:szCs w:val="32"/>
          <w:highlight w:val="none"/>
        </w:rPr>
      </w:pPr>
      <w:r>
        <w:rPr>
          <w:rFonts w:hint="eastAsia" w:ascii="仿宋_GB2312" w:hAnsi="黑体" w:eastAsia="仿宋_GB2312"/>
          <w:color w:val="000000"/>
          <w:sz w:val="32"/>
          <w:szCs w:val="32"/>
          <w:highlight w:val="none"/>
        </w:rPr>
        <w:t>6.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pPr>
        <w:spacing w:line="560" w:lineRule="exact"/>
        <w:rPr>
          <w:rFonts w:ascii="仿宋_GB2312" w:eastAsia="仿宋_GB2312"/>
          <w:color w:val="000000"/>
          <w:sz w:val="32"/>
          <w:szCs w:val="32"/>
          <w:highlight w:val="none"/>
        </w:rPr>
      </w:pPr>
    </w:p>
    <w:p>
      <w:pPr>
        <w:spacing w:line="560" w:lineRule="exact"/>
        <w:rPr>
          <w:rFonts w:ascii="仿宋_GB2312" w:eastAsia="仿宋_GB2312"/>
          <w:color w:val="000000"/>
          <w:sz w:val="32"/>
          <w:szCs w:val="32"/>
          <w:highlight w:val="none"/>
        </w:rPr>
      </w:pPr>
    </w:p>
    <w:p>
      <w:pPr>
        <w:spacing w:line="560" w:lineRule="exact"/>
        <w:jc w:val="center"/>
        <w:rPr>
          <w:rFonts w:ascii="方正小标宋简体" w:eastAsia="方正小标宋简体"/>
          <w:color w:val="000000"/>
          <w:sz w:val="36"/>
          <w:szCs w:val="36"/>
          <w:highlight w:val="none"/>
        </w:rPr>
      </w:pPr>
      <w:r>
        <w:rPr>
          <w:rFonts w:hint="eastAsia" w:ascii="方正小标宋简体" w:eastAsia="方正小标宋简体"/>
          <w:color w:val="000000"/>
          <w:sz w:val="36"/>
          <w:szCs w:val="36"/>
          <w:highlight w:val="none"/>
        </w:rPr>
        <w:t>第二部分  2021年单位预算报表</w:t>
      </w:r>
    </w:p>
    <w:p>
      <w:pPr>
        <w:autoSpaceDE w:val="0"/>
        <w:autoSpaceDN w:val="0"/>
        <w:adjustRightInd w:val="0"/>
        <w:spacing w:line="560" w:lineRule="exact"/>
        <w:jc w:val="left"/>
        <w:rPr>
          <w:rFonts w:ascii="方正小标宋简体" w:eastAsia="方正小标宋简体"/>
          <w:color w:val="000000"/>
          <w:sz w:val="36"/>
          <w:szCs w:val="36"/>
          <w:highlight w:val="none"/>
        </w:rPr>
      </w:pPr>
    </w:p>
    <w:p>
      <w:pPr>
        <w:spacing w:line="560" w:lineRule="exact"/>
        <w:rPr>
          <w:highlight w:val="none"/>
        </w:rPr>
      </w:pPr>
      <w:r>
        <w:rPr>
          <w:rFonts w:hint="eastAsia" w:ascii="仿宋_GB2312" w:eastAsia="仿宋_GB2312"/>
          <w:color w:val="000000"/>
          <w:sz w:val="32"/>
          <w:szCs w:val="32"/>
          <w:highlight w:val="none"/>
        </w:rPr>
        <w:t>附件：</w:t>
      </w:r>
      <w:r>
        <w:rPr>
          <w:rFonts w:hint="eastAsia" w:ascii="仿宋_GB2312" w:eastAsia="仿宋_GB2312"/>
          <w:sz w:val="32"/>
          <w:szCs w:val="32"/>
          <w:highlight w:val="none"/>
        </w:rPr>
        <w:t>北京市自然科学基金委员会办公室</w:t>
      </w:r>
      <w:r>
        <w:rPr>
          <w:rFonts w:hint="eastAsia" w:ascii="仿宋_GB2312" w:eastAsia="仿宋_GB2312"/>
          <w:color w:val="000000"/>
          <w:sz w:val="32"/>
          <w:szCs w:val="32"/>
          <w:highlight w:val="none"/>
        </w:rPr>
        <w:t>2021年度单位预算报表</w:t>
      </w:r>
      <w:r>
        <w:rPr>
          <w:rFonts w:hint="eastAsia" w:ascii="仿宋_GB2312" w:eastAsia="仿宋_GB2312" w:cs="宋体"/>
          <w:color w:val="000000"/>
          <w:kern w:val="0"/>
          <w:sz w:val="32"/>
          <w:szCs w:val="32"/>
          <w:highlight w:val="none"/>
          <w:lang w:val="zh-CN"/>
        </w:rPr>
        <w:t xml:space="preserve">  </w:t>
      </w:r>
    </w:p>
    <w:bookmarkEnd w:id="0"/>
    <w:sectPr>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Times New Roman"/>
    <w:panose1 w:val="00000000000000000000"/>
    <w:charset w:val="00"/>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7 -</w:t>
    </w:r>
    <w:r>
      <w:rPr>
        <w:rFonts w:ascii="宋体" w:hAnsi="宋体"/>
        <w:sz w:val="28"/>
        <w:szCs w:val="28"/>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djNGY2NGRkMWViYjU5M2JjMzEyYWU0ODA0ZWRkNDUifQ=="/>
  </w:docVars>
  <w:rsids>
    <w:rsidRoot w:val="0083542B"/>
    <w:rsid w:val="00023DE1"/>
    <w:rsid w:val="00035812"/>
    <w:rsid w:val="00036033"/>
    <w:rsid w:val="000B2234"/>
    <w:rsid w:val="000B5FD3"/>
    <w:rsid w:val="00105687"/>
    <w:rsid w:val="0014236C"/>
    <w:rsid w:val="0015457E"/>
    <w:rsid w:val="001565DD"/>
    <w:rsid w:val="00156AA2"/>
    <w:rsid w:val="0018529C"/>
    <w:rsid w:val="001B7AA0"/>
    <w:rsid w:val="001D6C34"/>
    <w:rsid w:val="001E32D3"/>
    <w:rsid w:val="001F7DB3"/>
    <w:rsid w:val="00222B2F"/>
    <w:rsid w:val="002507B1"/>
    <w:rsid w:val="00255F91"/>
    <w:rsid w:val="0027678F"/>
    <w:rsid w:val="002C2DA1"/>
    <w:rsid w:val="002E5273"/>
    <w:rsid w:val="00312EF5"/>
    <w:rsid w:val="00323CA7"/>
    <w:rsid w:val="00346FBE"/>
    <w:rsid w:val="0036020D"/>
    <w:rsid w:val="00373F45"/>
    <w:rsid w:val="00374207"/>
    <w:rsid w:val="00374771"/>
    <w:rsid w:val="00383E0C"/>
    <w:rsid w:val="0039215F"/>
    <w:rsid w:val="003C1B45"/>
    <w:rsid w:val="003D03B6"/>
    <w:rsid w:val="003D4E1B"/>
    <w:rsid w:val="003D50C0"/>
    <w:rsid w:val="003D6BE5"/>
    <w:rsid w:val="003F6AFD"/>
    <w:rsid w:val="00416C8F"/>
    <w:rsid w:val="004512CE"/>
    <w:rsid w:val="00454D6C"/>
    <w:rsid w:val="00471CE7"/>
    <w:rsid w:val="004721E8"/>
    <w:rsid w:val="00474941"/>
    <w:rsid w:val="0049108B"/>
    <w:rsid w:val="004A1265"/>
    <w:rsid w:val="004B3F9F"/>
    <w:rsid w:val="004B7147"/>
    <w:rsid w:val="00524978"/>
    <w:rsid w:val="00533C41"/>
    <w:rsid w:val="00550B1D"/>
    <w:rsid w:val="00573201"/>
    <w:rsid w:val="00585707"/>
    <w:rsid w:val="00590693"/>
    <w:rsid w:val="005C3619"/>
    <w:rsid w:val="005D2DBD"/>
    <w:rsid w:val="006073DA"/>
    <w:rsid w:val="006265B2"/>
    <w:rsid w:val="00654509"/>
    <w:rsid w:val="0069021B"/>
    <w:rsid w:val="006927B9"/>
    <w:rsid w:val="006A6682"/>
    <w:rsid w:val="006F343A"/>
    <w:rsid w:val="00766A38"/>
    <w:rsid w:val="0079211A"/>
    <w:rsid w:val="007A5ABC"/>
    <w:rsid w:val="007A7D06"/>
    <w:rsid w:val="007D4FBF"/>
    <w:rsid w:val="007D6E01"/>
    <w:rsid w:val="007F2C53"/>
    <w:rsid w:val="007F5FAE"/>
    <w:rsid w:val="00804AED"/>
    <w:rsid w:val="008136D7"/>
    <w:rsid w:val="008169E6"/>
    <w:rsid w:val="008236A1"/>
    <w:rsid w:val="0083542B"/>
    <w:rsid w:val="008518F7"/>
    <w:rsid w:val="00872AC6"/>
    <w:rsid w:val="00885C6E"/>
    <w:rsid w:val="0089797D"/>
    <w:rsid w:val="008B1AF0"/>
    <w:rsid w:val="008D58C7"/>
    <w:rsid w:val="00942DA8"/>
    <w:rsid w:val="00976C94"/>
    <w:rsid w:val="00996093"/>
    <w:rsid w:val="009E2D15"/>
    <w:rsid w:val="009E6538"/>
    <w:rsid w:val="009E7777"/>
    <w:rsid w:val="009F3969"/>
    <w:rsid w:val="009F7806"/>
    <w:rsid w:val="00A2315F"/>
    <w:rsid w:val="00A44E5E"/>
    <w:rsid w:val="00A45D5A"/>
    <w:rsid w:val="00A50F9A"/>
    <w:rsid w:val="00A7474F"/>
    <w:rsid w:val="00A80ACA"/>
    <w:rsid w:val="00A867F7"/>
    <w:rsid w:val="00AB43AF"/>
    <w:rsid w:val="00AD54B2"/>
    <w:rsid w:val="00B0615E"/>
    <w:rsid w:val="00B26878"/>
    <w:rsid w:val="00B401EB"/>
    <w:rsid w:val="00B427E1"/>
    <w:rsid w:val="00B42937"/>
    <w:rsid w:val="00B750B5"/>
    <w:rsid w:val="00B90620"/>
    <w:rsid w:val="00C06F4B"/>
    <w:rsid w:val="00C126FD"/>
    <w:rsid w:val="00C146BC"/>
    <w:rsid w:val="00C17A5F"/>
    <w:rsid w:val="00C270FB"/>
    <w:rsid w:val="00C42D79"/>
    <w:rsid w:val="00CA10EE"/>
    <w:rsid w:val="00CB5F08"/>
    <w:rsid w:val="00CC0425"/>
    <w:rsid w:val="00CF3FED"/>
    <w:rsid w:val="00D06CE9"/>
    <w:rsid w:val="00D33077"/>
    <w:rsid w:val="00D813B1"/>
    <w:rsid w:val="00DB0EA4"/>
    <w:rsid w:val="00DD1E2C"/>
    <w:rsid w:val="00DD40E0"/>
    <w:rsid w:val="00DE6446"/>
    <w:rsid w:val="00DF650D"/>
    <w:rsid w:val="00E1461C"/>
    <w:rsid w:val="00E165B8"/>
    <w:rsid w:val="00E35892"/>
    <w:rsid w:val="00E36D60"/>
    <w:rsid w:val="00E45074"/>
    <w:rsid w:val="00E57E63"/>
    <w:rsid w:val="00E672AE"/>
    <w:rsid w:val="00EA3D45"/>
    <w:rsid w:val="00ED1148"/>
    <w:rsid w:val="00ED2E18"/>
    <w:rsid w:val="00F01ACC"/>
    <w:rsid w:val="00F623DF"/>
    <w:rsid w:val="00FB0158"/>
    <w:rsid w:val="00FC0200"/>
    <w:rsid w:val="00FC7478"/>
    <w:rsid w:val="00FC7985"/>
    <w:rsid w:val="00FE4F0A"/>
    <w:rsid w:val="00FF0109"/>
    <w:rsid w:val="06CD7A93"/>
    <w:rsid w:val="143E227C"/>
    <w:rsid w:val="347B3307"/>
    <w:rsid w:val="3E985C41"/>
    <w:rsid w:val="4D296259"/>
    <w:rsid w:val="666A561E"/>
    <w:rsid w:val="6C667DE4"/>
    <w:rsid w:val="747664FF"/>
    <w:rsid w:val="75CE61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批注框文本 Char"/>
    <w:basedOn w:val="8"/>
    <w:link w:val="3"/>
    <w:semiHidden/>
    <w:qFormat/>
    <w:uiPriority w:val="99"/>
    <w:rPr>
      <w:rFonts w:ascii="Times New Roman" w:hAnsi="Times New Roman" w:eastAsia="宋体" w:cs="Droid Sans"/>
      <w:sz w:val="18"/>
      <w:szCs w:val="18"/>
    </w:rPr>
  </w:style>
  <w:style w:type="character" w:customStyle="1" w:styleId="13">
    <w:name w:val="批注文字 Char"/>
    <w:basedOn w:val="8"/>
    <w:link w:val="2"/>
    <w:semiHidden/>
    <w:qFormat/>
    <w:uiPriority w:val="99"/>
    <w:rPr>
      <w:rFonts w:ascii="Times New Roman" w:hAnsi="Times New Roman" w:eastAsia="宋体" w:cs="Droid Sans"/>
      <w:szCs w:val="24"/>
    </w:rPr>
  </w:style>
  <w:style w:type="character" w:customStyle="1" w:styleId="14">
    <w:name w:val="批注主题 Char"/>
    <w:basedOn w:val="13"/>
    <w:link w:val="6"/>
    <w:semiHidden/>
    <w:qFormat/>
    <w:uiPriority w:val="99"/>
    <w:rPr>
      <w:rFonts w:ascii="Times New Roman" w:hAnsi="Times New Roman" w:eastAsia="宋体" w:cs="Droid Sans"/>
      <w:b/>
      <w:bCs/>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420</Words>
  <Characters>2399</Characters>
  <Lines>19</Lines>
  <Paragraphs>5</Paragraphs>
  <TotalTime>11</TotalTime>
  <ScaleCrop>false</ScaleCrop>
  <LinksUpToDate>false</LinksUpToDate>
  <CharactersWithSpaces>2814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2022-09-15T07:29:00Z</dcterms:created>
  <dc:creator>刘伟奇</dc:creator>
  <cp:lastModifiedBy>leo-yao</cp:lastModifiedBy>
  <cp:lastPrinted>2022-09-15T07:29:00Z</cp:lastPrinted>
  <dcterms:modified xsi:type="dcterms:W3CDTF">2022-09-27T03:17:58Z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5EF15B67CFA44BAB945D7D0FED729B00</vt:lpwstr>
  </property>
</Properties>
</file>