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北京生产力促进中心202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hint="eastAsia"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2021年北京生产力促进中心预算情况说明</w:t>
      </w:r>
    </w:p>
    <w:p>
      <w:pPr>
        <w:spacing w:line="560" w:lineRule="exact"/>
        <w:ind w:firstLine="540" w:firstLineChars="150"/>
        <w:rPr>
          <w:rFonts w:ascii="方正小标宋简体" w:eastAsia="方正小标宋简体"/>
          <w:color w:val="000000"/>
          <w:sz w:val="36"/>
          <w:szCs w:val="36"/>
        </w:rPr>
      </w:pPr>
    </w:p>
    <w:p>
      <w:pPr>
        <w:numPr>
          <w:ilvl w:val="0"/>
          <w:numId w:val="1"/>
        </w:numPr>
        <w:spacing w:line="560" w:lineRule="exact"/>
        <w:ind w:firstLine="480" w:firstLineChars="150"/>
        <w:rPr>
          <w:rFonts w:hint="eastAsia" w:ascii="黑体" w:hAnsi="黑体" w:eastAsia="黑体"/>
          <w:color w:val="000000"/>
          <w:sz w:val="32"/>
          <w:szCs w:val="32"/>
        </w:rPr>
      </w:pPr>
      <w:r>
        <w:rPr>
          <w:rFonts w:hint="eastAsia" w:ascii="黑体" w:hAnsi="黑体" w:eastAsia="黑体"/>
          <w:color w:val="000000"/>
          <w:sz w:val="32"/>
          <w:szCs w:val="32"/>
        </w:rPr>
        <w:t>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楷体" w:eastAsia="仿宋_GB2312"/>
          <w:sz w:val="32"/>
          <w:szCs w:val="32"/>
        </w:rPr>
        <w:t>（一）部门机构设置、职责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北京生产力促进中心是国家级示范生产力促进中心，是北京市科委直属的公益二类事业单位（北京市市编办《关于明确第一批市属事业单位类别的通知》【2014】京编事字第31号），是国家技术创新服务体系的重要组成部分，中心下设综合管理部、制造业服务部、重大项目部、国际合作部、文化科技服务部、服务业促进部、项目管理部7个部门。北京生产力促进中心全力支撑北京国际科技创新中心建设，积极对接国家重大科技任务落地北京相关工作，支撑服务怀柔科学城科技创新工作，推动怀柔科学城大科学装置的管理和开放共享，推动中科院、在京院所、在京高校等的科技成果在怀柔科学城培育和转化落地；促进智能制造、工业互联网、智能机器人、智能装备、航空航天等领域科技发展，为本市创新主体提供科技咨询、资源对接、科技成果转化等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sz w:val="32"/>
          <w:szCs w:val="32"/>
        </w:rPr>
      </w:pPr>
      <w:r>
        <w:rPr>
          <w:rFonts w:hint="eastAsia" w:ascii="仿宋_GB2312" w:hAnsi="楷体" w:eastAsia="仿宋_GB2312"/>
          <w:sz w:val="32"/>
          <w:szCs w:val="32"/>
        </w:rPr>
        <w:t>（二）人员构成情况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北京生产力促进中心</w:t>
      </w:r>
      <w:r>
        <w:rPr>
          <w:rFonts w:hint="eastAsia" w:ascii="仿宋_GB2312" w:eastAsia="仿宋_GB2312"/>
          <w:sz w:val="32"/>
          <w:szCs w:val="32"/>
        </w:rPr>
        <w:t>事业编制</w:t>
      </w:r>
      <w:r>
        <w:rPr>
          <w:rFonts w:hint="eastAsia" w:ascii="仿宋_GB2312" w:eastAsia="仿宋_GB2312"/>
          <w:sz w:val="32"/>
          <w:szCs w:val="32"/>
          <w:lang w:val="en-US" w:eastAsia="zh-CN"/>
        </w:rPr>
        <w:t>50</w:t>
      </w:r>
      <w:r>
        <w:rPr>
          <w:rFonts w:hint="eastAsia" w:ascii="仿宋_GB2312" w:eastAsia="仿宋_GB2312"/>
          <w:sz w:val="32"/>
          <w:szCs w:val="32"/>
        </w:rPr>
        <w:t>人，实际</w:t>
      </w:r>
      <w:r>
        <w:rPr>
          <w:rFonts w:hint="eastAsia" w:ascii="仿宋_GB2312" w:eastAsia="仿宋_GB2312"/>
          <w:sz w:val="32"/>
          <w:szCs w:val="32"/>
          <w:lang w:val="en-US" w:eastAsia="zh-CN"/>
        </w:rPr>
        <w:t>35</w:t>
      </w:r>
      <w:r>
        <w:rPr>
          <w:rFonts w:hint="eastAsia" w:ascii="仿宋_GB2312" w:eastAsia="仿宋_GB2312"/>
          <w:sz w:val="32"/>
          <w:szCs w:val="32"/>
        </w:rPr>
        <w:t>人；聘用人员（其他聘用人员--临时工）</w:t>
      </w:r>
      <w:r>
        <w:rPr>
          <w:rFonts w:hint="eastAsia" w:ascii="仿宋_GB2312" w:eastAsia="仿宋_GB2312"/>
          <w:sz w:val="32"/>
          <w:szCs w:val="32"/>
          <w:lang w:val="en-US" w:eastAsia="zh-CN"/>
        </w:rPr>
        <w:t>0</w:t>
      </w:r>
      <w:r>
        <w:rPr>
          <w:rFonts w:hint="eastAsia" w:ascii="仿宋_GB2312" w:eastAsia="仿宋_GB2312"/>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离退休人员</w:t>
      </w:r>
      <w:r>
        <w:rPr>
          <w:rFonts w:hint="eastAsia" w:ascii="仿宋_GB2312" w:eastAsia="仿宋_GB2312"/>
          <w:sz w:val="32"/>
          <w:szCs w:val="32"/>
          <w:lang w:val="en-US" w:eastAsia="zh-CN"/>
        </w:rPr>
        <w:t>3</w:t>
      </w:r>
      <w:r>
        <w:rPr>
          <w:rFonts w:hint="eastAsia" w:ascii="仿宋_GB2312" w:eastAsia="仿宋_GB2312"/>
          <w:sz w:val="32"/>
          <w:szCs w:val="32"/>
        </w:rPr>
        <w:t>人，其中：离休</w:t>
      </w:r>
      <w:r>
        <w:rPr>
          <w:rFonts w:hint="eastAsia" w:ascii="仿宋_GB2312" w:eastAsia="仿宋_GB2312"/>
          <w:sz w:val="32"/>
          <w:szCs w:val="32"/>
          <w:lang w:val="en-US" w:eastAsia="zh-CN"/>
        </w:rPr>
        <w:t>0</w:t>
      </w:r>
      <w:r>
        <w:rPr>
          <w:rFonts w:hint="eastAsia" w:ascii="仿宋_GB2312" w:eastAsia="仿宋_GB2312"/>
          <w:sz w:val="32"/>
          <w:szCs w:val="32"/>
        </w:rPr>
        <w:t>人，退休</w:t>
      </w:r>
      <w:r>
        <w:rPr>
          <w:rFonts w:hint="eastAsia" w:ascii="仿宋_GB2312" w:eastAsia="仿宋_GB2312"/>
          <w:sz w:val="32"/>
          <w:szCs w:val="32"/>
          <w:lang w:val="en-US" w:eastAsia="zh-CN"/>
        </w:rPr>
        <w:t>3</w:t>
      </w:r>
      <w:r>
        <w:rPr>
          <w:rFonts w:hint="eastAsia" w:ascii="仿宋_GB2312" w:eastAsia="仿宋_GB2312"/>
          <w:sz w:val="32"/>
          <w:szCs w:val="32"/>
        </w:rPr>
        <w:t>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ind w:firstLine="640" w:firstLineChars="200"/>
        <w:rPr>
          <w:rFonts w:ascii="仿宋" w:hAnsi="仿宋" w:eastAsia="仿宋"/>
          <w:sz w:val="32"/>
          <w:szCs w:val="32"/>
        </w:rPr>
      </w:pPr>
      <w:bookmarkStart w:id="0" w:name="_GoBack"/>
      <w:bookmarkEnd w:id="0"/>
      <w:r>
        <w:rPr>
          <w:rFonts w:hint="eastAsia" w:ascii="仿宋" w:hAnsi="仿宋" w:eastAsia="仿宋"/>
          <w:sz w:val="32"/>
          <w:szCs w:val="32"/>
        </w:rPr>
        <w:t>（一）收入预算说明</w:t>
      </w:r>
    </w:p>
    <w:p>
      <w:pPr>
        <w:rPr>
          <w:rFonts w:ascii="仿宋" w:hAnsi="仿宋" w:eastAsia="仿宋"/>
          <w:sz w:val="32"/>
          <w:szCs w:val="32"/>
        </w:rPr>
      </w:pPr>
      <w:r>
        <w:rPr>
          <w:rFonts w:hint="eastAsia" w:ascii="仿宋" w:hAnsi="仿宋" w:eastAsia="仿宋"/>
          <w:sz w:val="32"/>
          <w:szCs w:val="32"/>
        </w:rPr>
        <w:t xml:space="preserve">    2021年收入预算1688.53万元，比2020年1763.35万元减少了74.84万元，下降4.24%。其中：财政拨款1202.95万元，比2020年1267.40万元减少了64.45万元，减少原因为2021年由于工作调整，履职项目比上年减少；统筹使用结余资金安排预算0万元；其他资金485.58万元，比2020年477.42万元增加了8.16万元。</w:t>
      </w:r>
    </w:p>
    <w:p>
      <w:pPr>
        <w:ind w:firstLine="645"/>
        <w:rPr>
          <w:rFonts w:ascii="仿宋" w:hAnsi="仿宋" w:eastAsia="仿宋"/>
          <w:sz w:val="32"/>
          <w:szCs w:val="32"/>
        </w:rPr>
      </w:pPr>
      <w:r>
        <w:rPr>
          <w:rFonts w:hint="eastAsia" w:ascii="仿宋" w:hAnsi="仿宋" w:eastAsia="仿宋"/>
          <w:sz w:val="32"/>
          <w:szCs w:val="32"/>
        </w:rPr>
        <w:t>其中2021年其他资金包含：事业收入（不含专户管理的事业收入）482.09万元，比2020年476.32万元增加了5.77万元，增加1.21%，事业收入增加原因为根据中心的工作职责，承担对接国家科技创新在京落地相关服务工作，面向创新主体开展的业务量有所增加，预计事业收入有所增加；其他收入1万元，比2020年1.1万元减少了0.1万元，下降了9.09%，主要原因为2021年利息收入有所下降；继续使用的财政性结转资金2.49万元，比2020年0万元增加了2.49万元，增加100%，主要原因为2021年结转使用的基本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二）支出预算说明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2021年支出预算1688.53万元</w:t>
      </w:r>
      <w:r>
        <w:rPr>
          <w:rFonts w:hint="eastAsia" w:ascii="仿宋_GB2312" w:eastAsia="仿宋_GB2312"/>
          <w:sz w:val="32"/>
          <w:szCs w:val="32"/>
          <w:lang w:eastAsia="zh-CN"/>
        </w:rPr>
        <w:t>，</w:t>
      </w:r>
      <w:r>
        <w:rPr>
          <w:rFonts w:hint="eastAsia" w:ascii="仿宋_GB2312" w:eastAsia="仿宋_GB2312"/>
          <w:sz w:val="32"/>
          <w:szCs w:val="32"/>
        </w:rPr>
        <w:t>其中：基本支出预算1405.69万元，占总支出预算83.25%</w:t>
      </w:r>
      <w:r>
        <w:rPr>
          <w:rFonts w:hint="eastAsia" w:ascii="仿宋_GB2312" w:eastAsia="仿宋_GB2312"/>
          <w:sz w:val="32"/>
          <w:szCs w:val="32"/>
          <w:lang w:eastAsia="zh-CN"/>
        </w:rPr>
        <w:t>，</w:t>
      </w:r>
      <w:r>
        <w:rPr>
          <w:rFonts w:hint="eastAsia" w:ascii="仿宋_GB2312" w:eastAsia="仿宋_GB2312"/>
          <w:sz w:val="32"/>
          <w:szCs w:val="32"/>
          <w:lang w:val="en-US" w:eastAsia="zh-CN"/>
        </w:rPr>
        <w:t>比2020年1430.69万元减少了25万元，下降1.75%</w:t>
      </w:r>
      <w:r>
        <w:rPr>
          <w:rFonts w:hint="eastAsia" w:ascii="仿宋_GB2312" w:eastAsia="仿宋_GB2312"/>
          <w:sz w:val="32"/>
          <w:szCs w:val="32"/>
        </w:rPr>
        <w:t>；项目支出预算282.8</w:t>
      </w:r>
      <w:r>
        <w:rPr>
          <w:rFonts w:hint="eastAsia" w:ascii="仿宋_GB2312" w:eastAsia="仿宋_GB2312"/>
          <w:sz w:val="32"/>
          <w:szCs w:val="32"/>
          <w:lang w:val="en-US" w:eastAsia="zh-CN"/>
        </w:rPr>
        <w:t>4</w:t>
      </w:r>
      <w:r>
        <w:rPr>
          <w:rFonts w:hint="eastAsia" w:ascii="仿宋_GB2312" w:eastAsia="仿宋_GB2312"/>
          <w:sz w:val="32"/>
          <w:szCs w:val="32"/>
        </w:rPr>
        <w:t>万元，占总支出预算</w:t>
      </w:r>
      <w:r>
        <w:rPr>
          <w:rFonts w:hint="eastAsia" w:ascii="仿宋_GB2312" w:eastAsia="仿宋_GB2312"/>
          <w:sz w:val="32"/>
          <w:szCs w:val="32"/>
          <w:lang w:val="en-US" w:eastAsia="zh-CN"/>
        </w:rPr>
        <w:t>16.75</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比2020年332.66万元下降了49.82万元，下降14.98%，</w:t>
      </w:r>
      <w:r>
        <w:rPr>
          <w:rFonts w:hint="eastAsia" w:ascii="仿宋_GB2312" w:eastAsia="仿宋_GB2312"/>
          <w:sz w:val="32"/>
          <w:szCs w:val="32"/>
          <w:highlight w:val="none"/>
          <w:lang w:val="en-US" w:eastAsia="zh-CN"/>
        </w:rPr>
        <w:t>主要原因为中心根据“三定职责”对事业发展类履职项目的工作进行梳理及优化，在进一步提高工作效率的同时，节约工作成本，故经费有所减少</w:t>
      </w:r>
      <w:r>
        <w:rPr>
          <w:rFonts w:hint="eastAsia" w:ascii="仿宋_GB2312" w:eastAsia="仿宋_GB2312"/>
          <w:sz w:val="32"/>
          <w:szCs w:val="32"/>
          <w:highlight w:val="none"/>
        </w:rPr>
        <w:t>。</w:t>
      </w:r>
      <w:r>
        <w:rPr>
          <w:rFonts w:hint="eastAsia" w:ascii="仿宋_GB2312" w:eastAsia="仿宋_GB2312"/>
          <w:sz w:val="32"/>
          <w:szCs w:val="32"/>
        </w:rPr>
        <w:t>上缴上级支出0万元；事业单位经营支出0万元；对附属单位补助支出0万元。</w:t>
      </w:r>
    </w:p>
    <w:p>
      <w:pPr>
        <w:ind w:firstLine="640" w:firstLineChars="200"/>
        <w:rPr>
          <w:rFonts w:ascii="仿宋_GB2312" w:eastAsia="仿宋_GB2312"/>
          <w:sz w:val="32"/>
          <w:szCs w:val="32"/>
        </w:rPr>
      </w:pPr>
      <w:r>
        <w:rPr>
          <w:rFonts w:hint="eastAsia" w:ascii="黑体" w:hAnsi="黑体" w:eastAsia="黑体"/>
          <w:color w:val="000000"/>
          <w:sz w:val="32"/>
          <w:szCs w:val="32"/>
        </w:rPr>
        <w:t>三、主要支出情况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（一）预算项目支出方向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北京生产力促进中心2021年事业发展类履职项目“2021年北京生产力促进中心推进怀柔科学城建设及高端装备制造产业促进服务”，涉及经费107.59万元，预算执行周期：2021年1月—2021年12月。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（二）预算项目主要情况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1.依据《北京加强全国科技创新中心建设总体方案》、《北京怀柔综合性国家科学中心建设方案》及《北京城市总体规划（2016年-2035年）》工作部署要求，以能源、物质、材料、生命科学为方向，以综合性国家科学中心为抓手，服务和支持中科院等院所高校的高端科技人才团队，推动优秀科技成果以企业为主体在怀柔科学城转化落地，推动高端创新资源要素加快集聚，推动怀柔科学城构建从基础设施、基础研究、应用研究、成果转化到高精尖产业的创新链，为建成世界级原始创新承载区提供服务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2.依据《关于新时代深化科技体制改革加快推进全国科技创新中心建设的若干政策措施》（京政发〔2019〕18号）、《“十四五”北京国际科技创新中心建设战略行动计划》等文件要求，支撑北京建设国际科技创新中心建设重点任务顺利实施，推动怀柔科学城科技创新建设。推动中科院、在京院所、高校等的科技成果在怀柔科学城转化落地，编写重大科技计划专项办报告，组织成果转化、财税政策、技术合同等领域政策解读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3.依据《“十三五”国家科技创新规划》（国发〔2016〕43号）、《北京市“十三五”时期加强全国科技创新中心建设规划》（京政发〔2016〕44号）、《国务院关于印发“十三五”国家战略性新兴产业发展规划》（国发〔2016〕67号）、《北京市加快科技创新发展智能装备产业的指导意见》等文件提出的工作要求，组织智能制造、工业互联网、智能机器人、航空航天等领域关键技术攻关，推动北京市建设国际科技创新中心进程，组织管理装备制造领域研发课题，编写高端装备产业相关领域研究报告，服务装备制造领域创新主体。</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本单位2021年无财政拨款安排的</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三公</w:t>
      </w:r>
      <w:r>
        <w:rPr>
          <w:rFonts w:hint="eastAsia" w:ascii="仿宋_GB2312" w:eastAsia="仿宋_GB2312"/>
          <w:color w:val="000000"/>
          <w:sz w:val="32"/>
          <w:szCs w:val="32"/>
          <w:lang w:eastAsia="zh-CN"/>
        </w:rPr>
        <w:t>”</w:t>
      </w:r>
      <w:r>
        <w:rPr>
          <w:rFonts w:hint="eastAsia" w:ascii="仿宋_GB2312" w:eastAsia="仿宋_GB2312"/>
          <w:color w:val="000000"/>
          <w:sz w:val="32"/>
          <w:szCs w:val="32"/>
        </w:rPr>
        <w:t>经费预算。</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（一）政府采购预算说明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2021年北京生产力促进中心政府采购预算总额</w:t>
      </w:r>
      <w:r>
        <w:rPr>
          <w:rFonts w:hint="eastAsia" w:ascii="仿宋_GB2312" w:eastAsia="仿宋_GB2312"/>
          <w:sz w:val="32"/>
          <w:szCs w:val="32"/>
        </w:rPr>
        <w:t>17.09</w:t>
      </w:r>
      <w:r>
        <w:rPr>
          <w:rFonts w:hint="eastAsia" w:ascii="仿宋_GB2312" w:eastAsia="仿宋_GB2312"/>
          <w:color w:val="000000"/>
          <w:sz w:val="32"/>
          <w:szCs w:val="32"/>
        </w:rPr>
        <w:t>万元，其中：政府采购货物预算0万元，政府采购工程预算0万元，政府采购服务预算</w:t>
      </w:r>
      <w:r>
        <w:rPr>
          <w:rFonts w:hint="eastAsia" w:ascii="仿宋_GB2312" w:eastAsia="仿宋_GB2312"/>
          <w:sz w:val="32"/>
          <w:szCs w:val="32"/>
        </w:rPr>
        <w:t>17.09</w:t>
      </w:r>
      <w:r>
        <w:rPr>
          <w:rFonts w:hint="eastAsia" w:ascii="仿宋_GB2312" w:eastAsia="仿宋_GB2312"/>
          <w:color w:val="00000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本单位2021年无政府购买服务预算。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（三）机关运行经费说明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2021年，北京生产力促进中心填报绩效目标的预算项目3个，占本单位全部预算项目的100%。填报绩效目标的项目支出预算</w:t>
      </w:r>
      <w:r>
        <w:rPr>
          <w:rFonts w:hint="eastAsia" w:ascii="仿宋_GB2312" w:eastAsia="仿宋_GB2312"/>
          <w:sz w:val="32"/>
          <w:szCs w:val="32"/>
        </w:rPr>
        <w:t>282.8</w:t>
      </w:r>
      <w:r>
        <w:rPr>
          <w:rFonts w:hint="eastAsia" w:ascii="仿宋_GB2312" w:eastAsia="仿宋_GB2312"/>
          <w:sz w:val="32"/>
          <w:szCs w:val="32"/>
          <w:lang w:val="en-US" w:eastAsia="zh-CN"/>
        </w:rPr>
        <w:t>4</w:t>
      </w:r>
      <w:r>
        <w:rPr>
          <w:rFonts w:hint="eastAsia" w:ascii="仿宋_GB2312" w:eastAsia="仿宋_GB2312"/>
          <w:color w:val="000000"/>
          <w:sz w:val="32"/>
          <w:szCs w:val="32"/>
        </w:rPr>
        <w:t>万元，占本单位年初全部项目支出预算的100%。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截至2020年底，北京生产力促进中心共有车辆</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台，</w:t>
      </w:r>
      <w:r>
        <w:rPr>
          <w:rFonts w:hint="eastAsia" w:ascii="仿宋_GB2312" w:eastAsia="仿宋_GB2312"/>
          <w:color w:val="000000"/>
          <w:sz w:val="32"/>
          <w:szCs w:val="32"/>
          <w:lang w:val="en-US" w:eastAsia="zh-CN"/>
        </w:rPr>
        <w:t>72.88</w:t>
      </w:r>
      <w:r>
        <w:rPr>
          <w:rFonts w:hint="eastAsia" w:ascii="仿宋_GB2312" w:eastAsia="仿宋_GB2312"/>
          <w:color w:val="000000"/>
          <w:sz w:val="32"/>
          <w:szCs w:val="32"/>
        </w:rPr>
        <w:t>万元；单位价值50万元以上的通用设备0台（套）、0万元，单位价值100万元以上的专用设备0台（套）、0万元。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3.“三公”经费财政拨款预算数：指本单位当年单位预算安排的因公出国（境）费用、公务接待费、公务用车购置和运行维护费预算数。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4.政府采购：各级国家机关、事业单位和团体组织，使用财政性资金采购依法制定的集中采购目录以内的或者采购限额标准以上的货物、工程和服务的行为，是规范财政支出管理和强化预算约束的有效措施。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val="en-US" w:eastAsia="zh-CN"/>
        </w:rPr>
      </w:pPr>
    </w:p>
    <w:p>
      <w:pPr>
        <w:numPr>
          <w:ilvl w:val="0"/>
          <w:numId w:val="2"/>
        </w:num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 2021年单位预算报表</w:t>
      </w:r>
    </w:p>
    <w:p>
      <w:pPr>
        <w:numPr>
          <w:ilvl w:val="0"/>
          <w:numId w:val="0"/>
        </w:numPr>
        <w:spacing w:line="560" w:lineRule="exact"/>
        <w:jc w:val="both"/>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autoSpaceDE/>
        <w:autoSpaceDN/>
        <w:bidi w:val="0"/>
        <w:adjustRightInd/>
        <w:snapToGrid/>
        <w:textAlignment w:val="auto"/>
      </w:pPr>
      <w:r>
        <w:rPr>
          <w:rFonts w:hint="eastAsia" w:ascii="仿宋_GB2312" w:eastAsia="仿宋_GB2312"/>
          <w:color w:val="000000"/>
          <w:sz w:val="32"/>
          <w:szCs w:val="32"/>
        </w:rPr>
        <w:t>附件：北京生产力促进中心2021年度单位预算报表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E87F3"/>
    <w:multiLevelType w:val="singleLevel"/>
    <w:tmpl w:val="109E87F3"/>
    <w:lvl w:ilvl="0" w:tentative="0">
      <w:start w:val="1"/>
      <w:numFmt w:val="chineseCounting"/>
      <w:suff w:val="nothing"/>
      <w:lvlText w:val="%1、"/>
      <w:lvlJc w:val="left"/>
      <w:rPr>
        <w:rFonts w:hint="eastAsia"/>
      </w:rPr>
    </w:lvl>
  </w:abstractNum>
  <w:abstractNum w:abstractNumId="1">
    <w:nsid w:val="5492CB8E"/>
    <w:multiLevelType w:val="singleLevel"/>
    <w:tmpl w:val="5492CB8E"/>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jNGY2NGRkMWViYjU5M2JjMzEyYWU0ODA0ZWRkNDUifQ=="/>
  </w:docVars>
  <w:rsids>
    <w:rsidRoot w:val="0083542B"/>
    <w:rsid w:val="00023DE1"/>
    <w:rsid w:val="00035812"/>
    <w:rsid w:val="00061D2A"/>
    <w:rsid w:val="000B2234"/>
    <w:rsid w:val="00135D79"/>
    <w:rsid w:val="0014236C"/>
    <w:rsid w:val="0015457E"/>
    <w:rsid w:val="001C617C"/>
    <w:rsid w:val="0027678F"/>
    <w:rsid w:val="00346FBE"/>
    <w:rsid w:val="00373F45"/>
    <w:rsid w:val="00374207"/>
    <w:rsid w:val="003F6AFD"/>
    <w:rsid w:val="004512CE"/>
    <w:rsid w:val="00471CE7"/>
    <w:rsid w:val="004A1265"/>
    <w:rsid w:val="00590693"/>
    <w:rsid w:val="005D2DBD"/>
    <w:rsid w:val="00654509"/>
    <w:rsid w:val="006F343A"/>
    <w:rsid w:val="0079211A"/>
    <w:rsid w:val="008136D7"/>
    <w:rsid w:val="008236A1"/>
    <w:rsid w:val="0083542B"/>
    <w:rsid w:val="0089797D"/>
    <w:rsid w:val="009E2D15"/>
    <w:rsid w:val="00A7474F"/>
    <w:rsid w:val="00A867F7"/>
    <w:rsid w:val="00B750B5"/>
    <w:rsid w:val="00BB00E9"/>
    <w:rsid w:val="00CB5F08"/>
    <w:rsid w:val="00CF3FED"/>
    <w:rsid w:val="00D06CE9"/>
    <w:rsid w:val="00D24552"/>
    <w:rsid w:val="00DB0EA4"/>
    <w:rsid w:val="00DE4899"/>
    <w:rsid w:val="00E12BBC"/>
    <w:rsid w:val="00E165B8"/>
    <w:rsid w:val="00E35892"/>
    <w:rsid w:val="00E36D60"/>
    <w:rsid w:val="00E7269A"/>
    <w:rsid w:val="00EA3D45"/>
    <w:rsid w:val="00ED1148"/>
    <w:rsid w:val="00F623DF"/>
    <w:rsid w:val="00FF0109"/>
    <w:rsid w:val="010C7B25"/>
    <w:rsid w:val="01D0565A"/>
    <w:rsid w:val="064778CF"/>
    <w:rsid w:val="069246D9"/>
    <w:rsid w:val="06DF486A"/>
    <w:rsid w:val="08391BAC"/>
    <w:rsid w:val="0997192F"/>
    <w:rsid w:val="0ABE28A5"/>
    <w:rsid w:val="0B0A4ECD"/>
    <w:rsid w:val="0BEB3499"/>
    <w:rsid w:val="0D887800"/>
    <w:rsid w:val="10381EC0"/>
    <w:rsid w:val="15382E3E"/>
    <w:rsid w:val="169B008E"/>
    <w:rsid w:val="184E6761"/>
    <w:rsid w:val="1893595C"/>
    <w:rsid w:val="196E29C9"/>
    <w:rsid w:val="1A6063FF"/>
    <w:rsid w:val="1DD3073B"/>
    <w:rsid w:val="1E8B5722"/>
    <w:rsid w:val="20737488"/>
    <w:rsid w:val="224E5312"/>
    <w:rsid w:val="226D40B8"/>
    <w:rsid w:val="2280100F"/>
    <w:rsid w:val="25826212"/>
    <w:rsid w:val="26273CF4"/>
    <w:rsid w:val="293F4590"/>
    <w:rsid w:val="29840659"/>
    <w:rsid w:val="2B1D08A4"/>
    <w:rsid w:val="2C5830D1"/>
    <w:rsid w:val="2C5B128B"/>
    <w:rsid w:val="2C690990"/>
    <w:rsid w:val="2CBE1D6F"/>
    <w:rsid w:val="2CFA3FDE"/>
    <w:rsid w:val="301E599C"/>
    <w:rsid w:val="30345724"/>
    <w:rsid w:val="30520DF3"/>
    <w:rsid w:val="313B02A1"/>
    <w:rsid w:val="32E01F38"/>
    <w:rsid w:val="33E47805"/>
    <w:rsid w:val="343442A3"/>
    <w:rsid w:val="37BF105A"/>
    <w:rsid w:val="37D91551"/>
    <w:rsid w:val="3826299B"/>
    <w:rsid w:val="387E277A"/>
    <w:rsid w:val="395D7082"/>
    <w:rsid w:val="3D215D48"/>
    <w:rsid w:val="3E631649"/>
    <w:rsid w:val="3ED20BA1"/>
    <w:rsid w:val="3EF45C99"/>
    <w:rsid w:val="3F460CF6"/>
    <w:rsid w:val="419E3184"/>
    <w:rsid w:val="43144DB1"/>
    <w:rsid w:val="434E1102"/>
    <w:rsid w:val="43702C44"/>
    <w:rsid w:val="4409720F"/>
    <w:rsid w:val="44133724"/>
    <w:rsid w:val="45C0453A"/>
    <w:rsid w:val="45D03C8A"/>
    <w:rsid w:val="472024C4"/>
    <w:rsid w:val="47243542"/>
    <w:rsid w:val="48984D30"/>
    <w:rsid w:val="491F5B87"/>
    <w:rsid w:val="4CBB1710"/>
    <w:rsid w:val="4DF575EC"/>
    <w:rsid w:val="511B1522"/>
    <w:rsid w:val="51C56953"/>
    <w:rsid w:val="51EA2035"/>
    <w:rsid w:val="56473BDE"/>
    <w:rsid w:val="56D47FD5"/>
    <w:rsid w:val="57F51E8C"/>
    <w:rsid w:val="58854688"/>
    <w:rsid w:val="597A48CA"/>
    <w:rsid w:val="5BA0794F"/>
    <w:rsid w:val="5BE90FA8"/>
    <w:rsid w:val="5D833610"/>
    <w:rsid w:val="5ED001A1"/>
    <w:rsid w:val="60BC6814"/>
    <w:rsid w:val="6218652E"/>
    <w:rsid w:val="624C22B4"/>
    <w:rsid w:val="62E04203"/>
    <w:rsid w:val="63394AB3"/>
    <w:rsid w:val="63435F90"/>
    <w:rsid w:val="63A64DF3"/>
    <w:rsid w:val="652302D6"/>
    <w:rsid w:val="66293448"/>
    <w:rsid w:val="670555A0"/>
    <w:rsid w:val="67F7318D"/>
    <w:rsid w:val="69594229"/>
    <w:rsid w:val="69A541F7"/>
    <w:rsid w:val="69C811DE"/>
    <w:rsid w:val="6A682F6A"/>
    <w:rsid w:val="6A9C662C"/>
    <w:rsid w:val="6C767260"/>
    <w:rsid w:val="71004AC8"/>
    <w:rsid w:val="71D20B98"/>
    <w:rsid w:val="72703BD4"/>
    <w:rsid w:val="72A30D35"/>
    <w:rsid w:val="752D0825"/>
    <w:rsid w:val="774B48A9"/>
    <w:rsid w:val="77F1391D"/>
    <w:rsid w:val="787431BA"/>
    <w:rsid w:val="7BC323E4"/>
    <w:rsid w:val="7EB62616"/>
    <w:rsid w:val="7EB97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2138</Words>
  <Characters>266</Characters>
  <Lines>2</Lines>
  <Paragraphs>4</Paragraphs>
  <TotalTime>0</TotalTime>
  <ScaleCrop>false</ScaleCrop>
  <LinksUpToDate>false</LinksUpToDate>
  <CharactersWithSpaces>2400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leo-yao</cp:lastModifiedBy>
  <cp:lastPrinted>2021-03-03T06:19:00Z</cp:lastPrinted>
  <dcterms:modified xsi:type="dcterms:W3CDTF">2022-09-27T03:09:12Z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F918245D6BE04B5497F3AC71D5721C8F</vt:lpwstr>
  </property>
</Properties>
</file>