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北京技术市场管理办公室2022年财政预算信息公开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方正小标宋简体" w:eastAsia="方正小标宋简体"/>
          <w:color w:val="000000"/>
          <w:sz w:val="36"/>
          <w:szCs w:val="36"/>
        </w:rPr>
      </w:pPr>
      <w:r>
        <w:rPr>
          <w:rFonts w:hint="eastAsia" w:ascii="仿宋_GB2312" w:eastAsia="仿宋_GB2312" w:cs="宋体"/>
          <w:color w:val="000000"/>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2022年单位预算情况说明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pPr>
      <w:r>
        <w:rPr>
          <w:rFonts w:hint="eastAsia" w:ascii="仿宋_GB2312" w:eastAsia="仿宋_GB2312"/>
          <w:sz w:val="32"/>
          <w:szCs w:val="32"/>
        </w:rPr>
        <w:t>北京技术市场管理办公室为公益一类事业单位，机构规格正处级，经费形式财政补助。主要职责：承担北京技术市场日常管理监督工作，技术合同认定登记和技术合同登记机构管理，技术市场统计和分析等工作。</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机构设置情况</w:t>
      </w:r>
    </w:p>
    <w:p>
      <w:pPr>
        <w:ind w:firstLine="640" w:firstLineChars="200"/>
      </w:pPr>
      <w:r>
        <w:rPr>
          <w:rFonts w:hint="eastAsia" w:ascii="仿宋_GB2312" w:eastAsia="仿宋_GB2312"/>
          <w:sz w:val="32"/>
          <w:szCs w:val="32"/>
        </w:rPr>
        <w:t>北京技术市场管理办公室内设综合管理科、登记管理科、监督管理科、统计监测科四个部门。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ind w:firstLine="640" w:firstLineChars="200"/>
        <w:rPr>
          <w:rFonts w:hint="eastAsia" w:ascii="仿宋_GB2312" w:eastAsia="仿宋_GB2312"/>
          <w:sz w:val="32"/>
          <w:szCs w:val="32"/>
        </w:rPr>
      </w:pPr>
      <w:r>
        <w:rPr>
          <w:rFonts w:hint="eastAsia" w:ascii="仿宋_GB2312" w:eastAsia="仿宋_GB2312"/>
          <w:sz w:val="32"/>
          <w:szCs w:val="32"/>
        </w:rPr>
        <w:t>北京技术市场管理办公室</w:t>
      </w:r>
      <w:bookmarkStart w:id="0" w:name="_GoBack"/>
      <w:bookmarkEnd w:id="0"/>
      <w:r>
        <w:rPr>
          <w:rFonts w:hint="eastAsia" w:ascii="仿宋_GB2312" w:hAnsi="Times New Roman" w:eastAsia="仿宋_GB2312" w:cs="Droid Sans"/>
          <w:b w:val="0"/>
          <w:bCs w:val="0"/>
          <w:kern w:val="2"/>
          <w:sz w:val="32"/>
          <w:szCs w:val="32"/>
          <w:lang w:val="en-US" w:eastAsia="zh-CN" w:bidi="ar-SA"/>
        </w:rPr>
        <w:t>行政编制0人，实有人数0人；事业编制</w:t>
      </w:r>
      <w:r>
        <w:rPr>
          <w:rFonts w:hint="eastAsia" w:ascii="仿宋_GB2312" w:eastAsia="仿宋_GB2312" w:cs="Droid Sans"/>
          <w:b w:val="0"/>
          <w:bCs w:val="0"/>
          <w:kern w:val="2"/>
          <w:sz w:val="32"/>
          <w:szCs w:val="32"/>
          <w:lang w:val="en-US" w:eastAsia="zh-CN" w:bidi="ar-SA"/>
        </w:rPr>
        <w:t>21</w:t>
      </w:r>
      <w:r>
        <w:rPr>
          <w:rFonts w:hint="eastAsia" w:ascii="仿宋_GB2312" w:hAnsi="Times New Roman" w:eastAsia="仿宋_GB2312" w:cs="Droid Sans"/>
          <w:b w:val="0"/>
          <w:bCs w:val="0"/>
          <w:kern w:val="2"/>
          <w:sz w:val="32"/>
          <w:szCs w:val="32"/>
          <w:lang w:val="en-US" w:eastAsia="zh-CN" w:bidi="ar-SA"/>
        </w:rPr>
        <w:t>人，实有人数1</w:t>
      </w:r>
      <w:r>
        <w:rPr>
          <w:rFonts w:hint="eastAsia" w:ascii="仿宋_GB2312" w:eastAsia="仿宋_GB2312" w:cs="Droid Sans"/>
          <w:b w:val="0"/>
          <w:bCs w:val="0"/>
          <w:kern w:val="2"/>
          <w:sz w:val="32"/>
          <w:szCs w:val="32"/>
          <w:lang w:val="en-US" w:eastAsia="zh-CN" w:bidi="ar-SA"/>
        </w:rPr>
        <w:t>9</w:t>
      </w:r>
      <w:r>
        <w:rPr>
          <w:rFonts w:hint="eastAsia" w:ascii="仿宋_GB2312" w:hAnsi="Times New Roman" w:eastAsia="仿宋_GB2312" w:cs="Droid Sans"/>
          <w:b w:val="0"/>
          <w:bCs w:val="0"/>
          <w:kern w:val="2"/>
          <w:sz w:val="32"/>
          <w:szCs w:val="32"/>
          <w:lang w:val="en-US" w:eastAsia="zh-CN" w:bidi="ar-SA"/>
        </w:rPr>
        <w:t>人；离退休人员1</w:t>
      </w:r>
      <w:r>
        <w:rPr>
          <w:rFonts w:hint="eastAsia" w:ascii="仿宋_GB2312" w:eastAsia="仿宋_GB2312" w:cs="Droid Sans"/>
          <w:b w:val="0"/>
          <w:bCs w:val="0"/>
          <w:kern w:val="2"/>
          <w:sz w:val="32"/>
          <w:szCs w:val="32"/>
          <w:lang w:val="en-US" w:eastAsia="zh-CN" w:bidi="ar-SA"/>
        </w:rPr>
        <w:t>8</w:t>
      </w:r>
      <w:r>
        <w:rPr>
          <w:rFonts w:hint="eastAsia" w:ascii="仿宋_GB2312" w:hAnsi="Times New Roman" w:eastAsia="仿宋_GB2312" w:cs="Droid Sans"/>
          <w:b w:val="0"/>
          <w:bCs w:val="0"/>
          <w:kern w:val="2"/>
          <w:sz w:val="32"/>
          <w:szCs w:val="32"/>
          <w:lang w:val="en-US" w:eastAsia="zh-CN" w:bidi="ar-SA"/>
        </w:rPr>
        <w:t>人，其中：离休0人，退休1</w:t>
      </w:r>
      <w:r>
        <w:rPr>
          <w:rFonts w:hint="eastAsia" w:ascii="仿宋_GB2312" w:eastAsia="仿宋_GB2312" w:cs="Droid Sans"/>
          <w:b w:val="0"/>
          <w:bCs w:val="0"/>
          <w:kern w:val="2"/>
          <w:sz w:val="32"/>
          <w:szCs w:val="32"/>
          <w:lang w:val="en-US" w:eastAsia="zh-CN" w:bidi="ar-SA"/>
        </w:rPr>
        <w:t>8</w:t>
      </w:r>
      <w:r>
        <w:rPr>
          <w:rFonts w:hint="eastAsia" w:ascii="仿宋_GB2312" w:hAnsi="Times New Roman" w:eastAsia="仿宋_GB2312" w:cs="Droid Sans"/>
          <w:b w:val="0"/>
          <w:bCs w:val="0"/>
          <w:kern w:val="2"/>
          <w:sz w:val="32"/>
          <w:szCs w:val="32"/>
          <w:lang w:val="en-US" w:eastAsia="zh-CN" w:bidi="ar-SA"/>
        </w:rPr>
        <w:t>人，聘用人员（其他聘用人员--临时工）</w:t>
      </w:r>
      <w:r>
        <w:rPr>
          <w:rFonts w:hint="eastAsia" w:ascii="仿宋_GB2312" w:eastAsia="仿宋_GB2312" w:cs="Droid Sans"/>
          <w:b w:val="0"/>
          <w:bCs w:val="0"/>
          <w:kern w:val="2"/>
          <w:sz w:val="32"/>
          <w:szCs w:val="32"/>
          <w:lang w:val="en-US" w:eastAsia="zh-CN" w:bidi="ar-SA"/>
        </w:rPr>
        <w:t>0</w:t>
      </w:r>
      <w:r>
        <w:rPr>
          <w:rFonts w:hint="eastAsia" w:ascii="仿宋_GB2312" w:hAnsi="Times New Roman" w:eastAsia="仿宋_GB2312" w:cs="Droid Sans"/>
          <w:b w:val="0"/>
          <w:bCs w:val="0"/>
          <w:kern w:val="2"/>
          <w:sz w:val="32"/>
          <w:szCs w:val="32"/>
          <w:lang w:val="en-US" w:eastAsia="zh-CN" w:bidi="ar-SA"/>
        </w:rPr>
        <w:t>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ind w:firstLine="640" w:firstLineChars="200"/>
      </w:pPr>
      <w:r>
        <w:rPr>
          <w:rFonts w:hint="eastAsia" w:ascii="仿宋_GB2312" w:eastAsia="仿宋_GB2312"/>
          <w:sz w:val="32"/>
          <w:szCs w:val="32"/>
        </w:rPr>
        <w:t>2022年收入预算2,303.07万元，比2021年2</w:t>
      </w:r>
      <w:r>
        <w:rPr>
          <w:rFonts w:hint="eastAsia" w:ascii="仿宋_GB2312" w:hAnsi="仿宋_GB2312" w:eastAsia="仿宋_GB2312" w:cs="仿宋_GB2312"/>
          <w:color w:val="3D3D3D"/>
          <w:sz w:val="32"/>
          <w:szCs w:val="32"/>
          <w:shd w:val="clear" w:color="auto" w:fill="FFFFFF"/>
        </w:rPr>
        <w:t>,</w:t>
      </w:r>
      <w:r>
        <w:rPr>
          <w:rFonts w:hint="eastAsia" w:ascii="仿宋_GB2312" w:eastAsia="仿宋_GB2312"/>
          <w:sz w:val="32"/>
          <w:szCs w:val="32"/>
        </w:rPr>
        <w:t>090.42万元增加212.65万元，增长10.17%。其中：本年财政拨款收入2,194.13万元,比2021年1,930.29万元增加263.84万元，增加主要原因：1.新增信息化系统新建和升级改造项目经费，2.办公用房租赁类项目租赁经费增加。本年其他资金收入0万元,与2021年持平；上年结转结余资金108.93万元,比2021年160.13万元减少51.20万元，减少原因：使用结余资金和事业基金等安排下年度预算经费减少。</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2022年支出预算2,303.07万元，比2021年2,090.42万元增加212.65万元，增长10.17%。</w:t>
      </w:r>
    </w:p>
    <w:p>
      <w:pPr>
        <w:ind w:firstLine="555"/>
        <w:rPr>
          <w:rFonts w:ascii="仿宋_GB2312" w:eastAsia="仿宋_GB2312"/>
          <w:sz w:val="32"/>
          <w:szCs w:val="32"/>
        </w:rPr>
      </w:pPr>
      <w:r>
        <w:rPr>
          <w:rFonts w:hint="eastAsia" w:ascii="仿宋_GB2312" w:eastAsia="仿宋_GB2312"/>
          <w:sz w:val="32"/>
          <w:szCs w:val="32"/>
        </w:rPr>
        <w:t>基本支出预算756.46万元，占总支出预算32.85%，比2021年728.53万元增加27.93万元，增长3.83%。增加主要原因为人员职务职级调整、工龄增加、社保基数调整等导致的人员经费增长。项目支出预算1,546.61万元，比2021年1</w:t>
      </w:r>
      <w:r>
        <w:rPr>
          <w:rFonts w:hint="eastAsia" w:ascii="仿宋_GB2312" w:hAnsi="仿宋_GB2312" w:eastAsia="仿宋_GB2312" w:cs="仿宋_GB2312"/>
          <w:color w:val="3D3D3D"/>
          <w:sz w:val="32"/>
          <w:szCs w:val="32"/>
          <w:shd w:val="clear" w:color="auto" w:fill="FFFFFF"/>
        </w:rPr>
        <w:t>,</w:t>
      </w:r>
      <w:r>
        <w:rPr>
          <w:rFonts w:hint="eastAsia" w:ascii="仿宋_GB2312" w:eastAsia="仿宋_GB2312"/>
          <w:sz w:val="32"/>
          <w:szCs w:val="32"/>
        </w:rPr>
        <w:t>361.89万元增加184.72万元，增长13.56%，增加主要原因：新增信息化系统新建和升级改造项目经费。其中：</w:t>
      </w:r>
    </w:p>
    <w:p>
      <w:pPr>
        <w:ind w:firstLine="640" w:firstLineChars="200"/>
        <w:rPr>
          <w:rFonts w:ascii="仿宋_GB2312" w:eastAsia="仿宋_GB2312"/>
          <w:sz w:val="32"/>
          <w:szCs w:val="32"/>
        </w:rPr>
      </w:pPr>
      <w:r>
        <w:rPr>
          <w:rFonts w:hint="eastAsia" w:ascii="仿宋_GB2312" w:eastAsia="仿宋_GB2312"/>
          <w:sz w:val="32"/>
          <w:szCs w:val="32"/>
        </w:rPr>
        <w:t>1.事业单位经营支出0万元。</w:t>
      </w:r>
    </w:p>
    <w:p>
      <w:pPr>
        <w:ind w:firstLine="640" w:firstLineChars="200"/>
        <w:rPr>
          <w:rFonts w:ascii="仿宋_GB2312" w:eastAsia="仿宋_GB2312"/>
          <w:sz w:val="32"/>
          <w:szCs w:val="32"/>
        </w:rPr>
      </w:pPr>
      <w:r>
        <w:rPr>
          <w:rFonts w:hint="eastAsia" w:ascii="仿宋_GB2312" w:eastAsia="仿宋_GB2312"/>
          <w:sz w:val="32"/>
          <w:szCs w:val="32"/>
        </w:rPr>
        <w:t>2.上缴上级支出0万元。</w:t>
      </w:r>
    </w:p>
    <w:p>
      <w:pPr>
        <w:ind w:firstLine="640" w:firstLineChars="200"/>
      </w:pPr>
      <w:r>
        <w:rPr>
          <w:rFonts w:hint="eastAsia" w:ascii="仿宋_GB2312" w:eastAsia="仿宋_GB2312"/>
          <w:sz w:val="32"/>
          <w:szCs w:val="32"/>
        </w:rPr>
        <w:t>3.对附属单位补助支出0万元。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三、主要支出情况</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根据北京技术市场管理办公室工作安排，2022年部门预算支出主要用于项目支出,主要集中在科学技术管理事务、科技条件与服务等方面:</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（一）科学技术管理事务方面</w:t>
      </w:r>
    </w:p>
    <w:p>
      <w:pPr>
        <w:ind w:firstLine="555"/>
        <w:rPr>
          <w:rFonts w:ascii="仿宋_GB2312" w:eastAsia="仿宋_GB2312"/>
          <w:sz w:val="32"/>
          <w:szCs w:val="32"/>
        </w:rPr>
      </w:pPr>
      <w:r>
        <w:rPr>
          <w:rFonts w:hint="eastAsia" w:ascii="仿宋_GB2312" w:eastAsia="仿宋_GB2312"/>
          <w:sz w:val="32"/>
          <w:szCs w:val="32"/>
        </w:rPr>
        <w:t>用于人员工资福利以及维持正常办公保障的商品及服务支出等。</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（二）科技条件与服务方面</w:t>
      </w:r>
    </w:p>
    <w:p>
      <w:pPr>
        <w:ind w:firstLine="640" w:firstLineChars="200"/>
        <w:rPr>
          <w:rFonts w:ascii="仿宋_GB2312" w:eastAsia="仿宋_GB2312"/>
          <w:sz w:val="32"/>
          <w:szCs w:val="32"/>
        </w:rPr>
      </w:pPr>
      <w:r>
        <w:rPr>
          <w:rFonts w:hint="eastAsia" w:ascii="仿宋_GB2312" w:eastAsia="仿宋_GB2312"/>
          <w:color w:val="000000"/>
          <w:sz w:val="32"/>
          <w:szCs w:val="32"/>
        </w:rPr>
        <w:t>主要用于技术市场发展专项等项目。</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四、单位“三公”经费财政拨款预算说明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ind w:firstLine="555"/>
      </w:pPr>
      <w:r>
        <w:rPr>
          <w:rFonts w:hint="eastAsia" w:ascii="仿宋_GB2312" w:eastAsia="仿宋_GB2312"/>
          <w:sz w:val="32"/>
          <w:szCs w:val="32"/>
        </w:rPr>
        <w:t>北京技术市场管理办公室因公出国（境）费用、公务接待费、公务用车购置和运行维护费开支单位包括1个所属单位。</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（二）“三公”经费预算财政拨款情况说明</w:t>
      </w:r>
    </w:p>
    <w:p>
      <w:pPr>
        <w:ind w:firstLine="555"/>
        <w:rPr>
          <w:rFonts w:ascii="仿宋_GB2312" w:eastAsia="仿宋_GB2312"/>
          <w:sz w:val="32"/>
          <w:szCs w:val="32"/>
        </w:rPr>
      </w:pPr>
      <w:r>
        <w:rPr>
          <w:rFonts w:hint="eastAsia" w:ascii="仿宋_GB2312" w:eastAsia="仿宋_GB2312"/>
          <w:sz w:val="32"/>
          <w:szCs w:val="32"/>
        </w:rPr>
        <w:t>2022年"三公经费"财政拨款预算2.58万元，与2021年持平，其中：</w:t>
      </w:r>
    </w:p>
    <w:p>
      <w:pPr>
        <w:ind w:firstLine="640" w:firstLineChars="200"/>
        <w:rPr>
          <w:rFonts w:ascii="仿宋_GB2312" w:eastAsia="仿宋_GB2312"/>
          <w:sz w:val="32"/>
          <w:szCs w:val="32"/>
        </w:rPr>
      </w:pPr>
      <w:r>
        <w:rPr>
          <w:rFonts w:hint="eastAsia" w:ascii="仿宋_GB2312" w:eastAsia="仿宋_GB2312"/>
          <w:sz w:val="32"/>
          <w:szCs w:val="32"/>
        </w:rPr>
        <w:t>1.因公出国（境）费用。</w:t>
      </w:r>
      <w:r>
        <w:rPr>
          <w:rFonts w:hint="eastAsia" w:ascii="仿宋_GB2312" w:eastAsia="仿宋_GB2312"/>
          <w:color w:val="000000"/>
          <w:sz w:val="32"/>
          <w:szCs w:val="32"/>
        </w:rPr>
        <w:t>本单位2022年无财政拨款安排的</w:t>
      </w:r>
      <w:r>
        <w:rPr>
          <w:rFonts w:hint="eastAsia" w:ascii="仿宋_GB2312" w:eastAsia="仿宋_GB2312"/>
          <w:sz w:val="32"/>
          <w:szCs w:val="32"/>
        </w:rPr>
        <w:t>因公出国（境）费用</w:t>
      </w:r>
      <w:r>
        <w:rPr>
          <w:rFonts w:hint="eastAsia" w:ascii="仿宋_GB2312" w:eastAsia="仿宋_GB2312"/>
          <w:color w:val="000000"/>
          <w:sz w:val="32"/>
          <w:szCs w:val="32"/>
        </w:rPr>
        <w:t>预算。</w:t>
      </w:r>
    </w:p>
    <w:p>
      <w:pPr>
        <w:ind w:firstLine="555"/>
        <w:rPr>
          <w:rFonts w:ascii="仿宋_GB2312" w:eastAsia="仿宋_GB2312"/>
          <w:sz w:val="32"/>
          <w:szCs w:val="32"/>
        </w:rPr>
      </w:pPr>
      <w:r>
        <w:rPr>
          <w:rFonts w:hint="eastAsia" w:ascii="仿宋_GB2312" w:eastAsia="仿宋_GB2312"/>
          <w:sz w:val="32"/>
          <w:szCs w:val="32"/>
        </w:rPr>
        <w:t>2.公务接待费。2022年预算数0.36万元，与2021年持平。2022年公务接待费主要用于外省市单位到市场进行调研交流活动等方面。</w:t>
      </w:r>
    </w:p>
    <w:p>
      <w:pPr>
        <w:ind w:firstLine="600"/>
      </w:pPr>
      <w:r>
        <w:rPr>
          <w:rFonts w:hint="eastAsia" w:ascii="仿宋_GB2312" w:eastAsia="仿宋_GB2312"/>
          <w:sz w:val="32"/>
          <w:szCs w:val="32"/>
        </w:rPr>
        <w:t>3.公务用车购置和运行维护费。2022年预算数2.22万元，其中，公务用车购置费2022年预算数0万元，与2021年预算持平。公务用车运行维护费2022年预算数2.22万元，其中：公务用车加油1.05万元，公务用车维修0.42万元，公务用车保险0.42万元，其他0.33万元。与2021年预算持平。</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ind w:firstLine="640" w:firstLineChars="200"/>
      </w:pPr>
      <w:r>
        <w:rPr>
          <w:rFonts w:hint="eastAsia" w:ascii="仿宋_GB2312" w:eastAsia="仿宋_GB2312"/>
          <w:sz w:val="32"/>
          <w:szCs w:val="32"/>
        </w:rPr>
        <w:t>2022年北京技术市场管理办公室政府采购预算总额370.88万元。其中：政府采购货物预算9.23万元，政府采购工程预算0万元，政府采购服务预算361.65万元。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pStyle w:val="3"/>
        <w:ind w:firstLine="640" w:firstLineChars="200"/>
      </w:pPr>
      <w:r>
        <w:rPr>
          <w:rFonts w:hint="eastAsia" w:ascii="仿宋_GB2312" w:eastAsia="仿宋_GB2312"/>
          <w:color w:val="000000"/>
          <w:sz w:val="32"/>
          <w:szCs w:val="32"/>
        </w:rPr>
        <w:t>本单位2022年无政府购买服务预算。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ind w:firstLine="600"/>
      </w:pPr>
      <w:r>
        <w:rPr>
          <w:rFonts w:hint="eastAsia" w:ascii="仿宋_GB2312" w:eastAsia="仿宋_GB2312"/>
          <w:sz w:val="32"/>
          <w:szCs w:val="32"/>
        </w:rPr>
        <w:t>2022年北京技术市场管理办公室1家参公管理事业单位的机关运行经费财政拨款预算86.74万元。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ind w:firstLine="600"/>
      </w:pPr>
      <w:r>
        <w:rPr>
          <w:rFonts w:hint="eastAsia" w:ascii="仿宋_GB2312" w:eastAsia="仿宋_GB2312"/>
          <w:sz w:val="32"/>
          <w:szCs w:val="32"/>
        </w:rPr>
        <w:t>2022年，</w:t>
      </w:r>
      <w:r>
        <w:rPr>
          <w:rFonts w:hint="eastAsia" w:ascii="仿宋_GB2312" w:hAnsi="宋体" w:eastAsia="仿宋_GB2312" w:cs="宋体"/>
          <w:kern w:val="0"/>
          <w:sz w:val="32"/>
          <w:szCs w:val="32"/>
        </w:rPr>
        <w:t>北京技术市场管理办公室</w:t>
      </w:r>
      <w:r>
        <w:rPr>
          <w:rFonts w:hint="eastAsia" w:ascii="仿宋_GB2312" w:eastAsia="仿宋_GB2312"/>
          <w:sz w:val="32"/>
          <w:szCs w:val="32"/>
        </w:rPr>
        <w:t>填报绩效目标的预算项目5个，占全部预算项目5个的100%。填报绩效目标的项目支出预算1,546.61万元，占本单位全部项目支出预算的100%。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截至2021年底，本单位共有车辆1台，共计16.97万元；单位价值50万元以上的通用设备0台（套），共计0万元，单位价值100万元以上的专用设备0台（套），共计0万元。</w:t>
      </w:r>
    </w:p>
    <w:p>
      <w:pPr>
        <w:numPr>
          <w:ilvl w:val="0"/>
          <w:numId w:val="2"/>
        </w:numPr>
        <w:spacing w:line="560" w:lineRule="exact"/>
        <w:ind w:firstLine="640" w:firstLineChars="200"/>
        <w:rPr>
          <w:rFonts w:ascii="黑体" w:eastAsia="黑体"/>
          <w:color w:val="000000"/>
          <w:sz w:val="32"/>
          <w:szCs w:val="32"/>
        </w:rPr>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
      <w:pPr>
        <w:pStyle w:val="2"/>
      </w:pPr>
    </w:p>
    <w:p/>
    <w:p>
      <w:pPr>
        <w:pStyle w:val="2"/>
      </w:pPr>
    </w:p>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附件：北京技术市场管理办公室2022年度单位预算报表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D8625"/>
    <w:multiLevelType w:val="singleLevel"/>
    <w:tmpl w:val="673D8625"/>
    <w:lvl w:ilvl="0" w:tentative="0">
      <w:start w:val="2"/>
      <w:numFmt w:val="chineseCounting"/>
      <w:suff w:val="nothing"/>
      <w:lvlText w:val="（%1）"/>
      <w:lvlJc w:val="left"/>
      <w:rPr>
        <w:rFonts w:hint="eastAsia"/>
      </w:rPr>
    </w:lvl>
  </w:abstractNum>
  <w:abstractNum w:abstractNumId="1">
    <w:nsid w:val="7D628051"/>
    <w:multiLevelType w:val="singleLevel"/>
    <w:tmpl w:val="7D628051"/>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7F3D5878"/>
    <w:rsid w:val="00021D86"/>
    <w:rsid w:val="000437A5"/>
    <w:rsid w:val="000A07BA"/>
    <w:rsid w:val="0014376A"/>
    <w:rsid w:val="001B72E9"/>
    <w:rsid w:val="00252AE0"/>
    <w:rsid w:val="00267A91"/>
    <w:rsid w:val="002F465B"/>
    <w:rsid w:val="00394C5D"/>
    <w:rsid w:val="003A3F15"/>
    <w:rsid w:val="005E4880"/>
    <w:rsid w:val="00666C8D"/>
    <w:rsid w:val="007B0DAF"/>
    <w:rsid w:val="00852628"/>
    <w:rsid w:val="009A33E1"/>
    <w:rsid w:val="00A4479D"/>
    <w:rsid w:val="00B16762"/>
    <w:rsid w:val="00B54905"/>
    <w:rsid w:val="00B87358"/>
    <w:rsid w:val="00CE351C"/>
    <w:rsid w:val="00D207A0"/>
    <w:rsid w:val="00E01F44"/>
    <w:rsid w:val="00E35775"/>
    <w:rsid w:val="00EA58E4"/>
    <w:rsid w:val="00F65DC7"/>
    <w:rsid w:val="00F84BD1"/>
    <w:rsid w:val="00FF7B41"/>
    <w:rsid w:val="027A76EE"/>
    <w:rsid w:val="02DC1741"/>
    <w:rsid w:val="044B1342"/>
    <w:rsid w:val="045B52FD"/>
    <w:rsid w:val="067F1D7A"/>
    <w:rsid w:val="08381D51"/>
    <w:rsid w:val="087D3A94"/>
    <w:rsid w:val="09094905"/>
    <w:rsid w:val="0A27015B"/>
    <w:rsid w:val="0A3D797F"/>
    <w:rsid w:val="0A682522"/>
    <w:rsid w:val="0EB14497"/>
    <w:rsid w:val="0F247CAD"/>
    <w:rsid w:val="0F7A2ADB"/>
    <w:rsid w:val="105C0433"/>
    <w:rsid w:val="109220A6"/>
    <w:rsid w:val="11CD10A4"/>
    <w:rsid w:val="13087BC3"/>
    <w:rsid w:val="13223BB5"/>
    <w:rsid w:val="136C6BDF"/>
    <w:rsid w:val="13CC3B21"/>
    <w:rsid w:val="14F5074A"/>
    <w:rsid w:val="151B08BC"/>
    <w:rsid w:val="153A443E"/>
    <w:rsid w:val="15FA4976"/>
    <w:rsid w:val="171A4BA4"/>
    <w:rsid w:val="177D585E"/>
    <w:rsid w:val="18B21538"/>
    <w:rsid w:val="19930995"/>
    <w:rsid w:val="1C0954E1"/>
    <w:rsid w:val="1CEE68B6"/>
    <w:rsid w:val="1D150CCF"/>
    <w:rsid w:val="1D3C5874"/>
    <w:rsid w:val="1E002D45"/>
    <w:rsid w:val="1EAA45DE"/>
    <w:rsid w:val="1F7E7854"/>
    <w:rsid w:val="208732AA"/>
    <w:rsid w:val="212C3E51"/>
    <w:rsid w:val="21C16BCC"/>
    <w:rsid w:val="230C5CE8"/>
    <w:rsid w:val="256040C9"/>
    <w:rsid w:val="25B73564"/>
    <w:rsid w:val="26282E39"/>
    <w:rsid w:val="280E42B1"/>
    <w:rsid w:val="28414686"/>
    <w:rsid w:val="284B72B3"/>
    <w:rsid w:val="29587103"/>
    <w:rsid w:val="2A8C3625"/>
    <w:rsid w:val="2A9A007E"/>
    <w:rsid w:val="2AA47D84"/>
    <w:rsid w:val="2ADC41F2"/>
    <w:rsid w:val="2B02634F"/>
    <w:rsid w:val="2BA5337F"/>
    <w:rsid w:val="2BA94A1C"/>
    <w:rsid w:val="2BF10171"/>
    <w:rsid w:val="2D422B23"/>
    <w:rsid w:val="2D67693D"/>
    <w:rsid w:val="2FB90FA6"/>
    <w:rsid w:val="2FE73D65"/>
    <w:rsid w:val="30410709"/>
    <w:rsid w:val="30BC2592"/>
    <w:rsid w:val="315E52BE"/>
    <w:rsid w:val="31D9148B"/>
    <w:rsid w:val="32904240"/>
    <w:rsid w:val="33972D2F"/>
    <w:rsid w:val="372E4027"/>
    <w:rsid w:val="3762240D"/>
    <w:rsid w:val="37983B97"/>
    <w:rsid w:val="385B0E4C"/>
    <w:rsid w:val="387821DF"/>
    <w:rsid w:val="38A21F1B"/>
    <w:rsid w:val="3A381B0F"/>
    <w:rsid w:val="3A8A0B21"/>
    <w:rsid w:val="3B284357"/>
    <w:rsid w:val="3C1D466B"/>
    <w:rsid w:val="3C243C4B"/>
    <w:rsid w:val="3C3C0F95"/>
    <w:rsid w:val="3CE8111C"/>
    <w:rsid w:val="3CF05E8B"/>
    <w:rsid w:val="3CFE26EE"/>
    <w:rsid w:val="3D4741BB"/>
    <w:rsid w:val="3E126451"/>
    <w:rsid w:val="3E1D4930"/>
    <w:rsid w:val="3E247F32"/>
    <w:rsid w:val="3E946E66"/>
    <w:rsid w:val="3F5D194E"/>
    <w:rsid w:val="409018AF"/>
    <w:rsid w:val="40906217"/>
    <w:rsid w:val="421502BE"/>
    <w:rsid w:val="435E7A42"/>
    <w:rsid w:val="43E048FB"/>
    <w:rsid w:val="4AC7359A"/>
    <w:rsid w:val="4B7C13AE"/>
    <w:rsid w:val="4E865398"/>
    <w:rsid w:val="4F833B28"/>
    <w:rsid w:val="50CF1F80"/>
    <w:rsid w:val="51842D6A"/>
    <w:rsid w:val="538452A3"/>
    <w:rsid w:val="55C951EF"/>
    <w:rsid w:val="56D73355"/>
    <w:rsid w:val="57923D01"/>
    <w:rsid w:val="579C3E76"/>
    <w:rsid w:val="59A1611D"/>
    <w:rsid w:val="5A492DA3"/>
    <w:rsid w:val="5A6F0DB4"/>
    <w:rsid w:val="5B1833D4"/>
    <w:rsid w:val="5CB87D6C"/>
    <w:rsid w:val="5CC932A2"/>
    <w:rsid w:val="5E7A5C21"/>
    <w:rsid w:val="5E8E550E"/>
    <w:rsid w:val="5FA82319"/>
    <w:rsid w:val="61D92C5E"/>
    <w:rsid w:val="623460E6"/>
    <w:rsid w:val="639826A5"/>
    <w:rsid w:val="64836EB1"/>
    <w:rsid w:val="667A42E4"/>
    <w:rsid w:val="66E8749F"/>
    <w:rsid w:val="688629FA"/>
    <w:rsid w:val="68921453"/>
    <w:rsid w:val="6C0B435C"/>
    <w:rsid w:val="6CE81FA7"/>
    <w:rsid w:val="6CFE7A1D"/>
    <w:rsid w:val="6D4C69DA"/>
    <w:rsid w:val="6D9263B7"/>
    <w:rsid w:val="6EAB7730"/>
    <w:rsid w:val="71B608C6"/>
    <w:rsid w:val="71BE6E00"/>
    <w:rsid w:val="74FB14A6"/>
    <w:rsid w:val="76392B57"/>
    <w:rsid w:val="763C15B6"/>
    <w:rsid w:val="7718792D"/>
    <w:rsid w:val="799A0ACD"/>
    <w:rsid w:val="7AA30CA1"/>
    <w:rsid w:val="7CBD7FCC"/>
    <w:rsid w:val="7CF14EA8"/>
    <w:rsid w:val="7D586CD5"/>
    <w:rsid w:val="7EB10CEF"/>
    <w:rsid w:val="7EBE0DBA"/>
    <w:rsid w:val="7F3D5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jc w:val="left"/>
    </w:pPr>
  </w:style>
  <w:style w:type="paragraph" w:styleId="4">
    <w:name w:val="Date"/>
    <w:basedOn w:val="1"/>
    <w:next w:val="1"/>
    <w:qFormat/>
    <w:uiPriority w:val="0"/>
    <w:rPr>
      <w:rFonts w:eastAsia="楷体_GB2312"/>
      <w:sz w:val="32"/>
      <w:szCs w:val="20"/>
    </w:rPr>
  </w:style>
  <w:style w:type="paragraph" w:styleId="5">
    <w:name w:val="Balloon Text"/>
    <w:basedOn w:val="1"/>
    <w:link w:val="15"/>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4"/>
    <w:qFormat/>
    <w:uiPriority w:val="0"/>
    <w:rPr>
      <w:b/>
      <w:bCs/>
    </w:rPr>
  </w:style>
  <w:style w:type="character" w:styleId="11">
    <w:name w:val="annotation reference"/>
    <w:basedOn w:val="10"/>
    <w:qFormat/>
    <w:uiPriority w:val="0"/>
    <w:rPr>
      <w:sz w:val="21"/>
      <w:szCs w:val="21"/>
    </w:rPr>
  </w:style>
  <w:style w:type="character" w:customStyle="1" w:styleId="12">
    <w:name w:val="页眉 Char"/>
    <w:basedOn w:val="10"/>
    <w:link w:val="7"/>
    <w:qFormat/>
    <w:uiPriority w:val="0"/>
    <w:rPr>
      <w:rFonts w:cs="Droid Sans"/>
      <w:kern w:val="2"/>
      <w:sz w:val="18"/>
      <w:szCs w:val="18"/>
    </w:rPr>
  </w:style>
  <w:style w:type="character" w:customStyle="1" w:styleId="13">
    <w:name w:val="批注文字 Char"/>
    <w:basedOn w:val="10"/>
    <w:link w:val="3"/>
    <w:qFormat/>
    <w:uiPriority w:val="0"/>
    <w:rPr>
      <w:rFonts w:cs="Droid Sans"/>
      <w:kern w:val="2"/>
      <w:sz w:val="21"/>
      <w:szCs w:val="24"/>
    </w:rPr>
  </w:style>
  <w:style w:type="character" w:customStyle="1" w:styleId="14">
    <w:name w:val="批注主题 Char"/>
    <w:basedOn w:val="13"/>
    <w:link w:val="8"/>
    <w:qFormat/>
    <w:uiPriority w:val="0"/>
    <w:rPr>
      <w:b/>
      <w:bCs/>
    </w:rPr>
  </w:style>
  <w:style w:type="character" w:customStyle="1" w:styleId="15">
    <w:name w:val="批注框文本 Char"/>
    <w:basedOn w:val="10"/>
    <w:link w:val="5"/>
    <w:qFormat/>
    <w:uiPriority w:val="0"/>
    <w:rPr>
      <w:rFonts w:cs="Droid Sans"/>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388</Words>
  <Characters>2215</Characters>
  <Lines>18</Lines>
  <Paragraphs>5</Paragraphs>
  <TotalTime>0</TotalTime>
  <ScaleCrop>false</ScaleCrop>
  <LinksUpToDate>false</LinksUpToDate>
  <CharactersWithSpaces>2598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2022-02-21T07:21:00Z</dcterms:created>
  <dc:creator>leo-yao</dc:creator>
  <cp:lastModifiedBy>leo-yao</cp:lastModifiedBy>
  <dcterms:modified xsi:type="dcterms:W3CDTF">2022-02-28T11:45:30Z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13E281AF66044552BF14F18284D22BE9</vt:lpwstr>
  </property>
</Properties>
</file>