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6630"/>
        </w:tabs>
        <w:spacing w:line="240" w:lineRule="exact"/>
      </w:pPr>
      <w:bookmarkStart w:id="0" w:name="_GoBack"/>
      <w:bookmarkEnd w:id="0"/>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北京新材料和新能源科技发展中心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numPr>
          <w:ilvl w:val="0"/>
          <w:numId w:val="1"/>
        </w:num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2022年单位预算情况说明</w:t>
      </w:r>
    </w:p>
    <w:p>
      <w:pPr>
        <w:pStyle w:val="2"/>
      </w:pPr>
    </w:p>
    <w:p>
      <w:pPr>
        <w:spacing w:line="560" w:lineRule="exact"/>
        <w:rPr>
          <w:rFonts w:ascii="黑体" w:eastAsia="黑体"/>
          <w:color w:val="000000"/>
          <w:sz w:val="32"/>
          <w:szCs w:val="32"/>
        </w:rPr>
      </w:pPr>
      <w:r>
        <w:rPr>
          <w:rFonts w:hint="eastAsia" w:asci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555"/>
        <w:rPr>
          <w:rFonts w:ascii="仿宋_GB2312" w:eastAsia="仿宋_GB2312"/>
          <w:sz w:val="32"/>
          <w:szCs w:val="32"/>
        </w:rPr>
      </w:pPr>
      <w:r>
        <w:rPr>
          <w:rFonts w:hint="eastAsia" w:ascii="仿宋_GB2312" w:eastAsia="仿宋_GB2312"/>
          <w:sz w:val="32"/>
          <w:szCs w:val="32"/>
        </w:rPr>
        <w:t>北京新材料和新能源科技发展中心为公益一类事业单位，机构规格正处级，经费形式财政补助，负责本市新材料、新能源领域科技项目管理、创新主体服务、科技成果转化和产业化培育等方面的事务性、辅助性工作。</w:t>
      </w:r>
    </w:p>
    <w:p>
      <w:pPr>
        <w:numPr>
          <w:ilvl w:val="0"/>
          <w:numId w:val="2"/>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ind w:firstLine="555"/>
        <w:outlineLvl w:val="0"/>
      </w:pPr>
      <w:r>
        <w:rPr>
          <w:rFonts w:hint="eastAsia" w:ascii="仿宋_GB2312" w:eastAsia="仿宋_GB2312"/>
          <w:sz w:val="32"/>
          <w:szCs w:val="32"/>
        </w:rPr>
        <w:t>北京新材料和新能源科技发展中心</w:t>
      </w:r>
      <w:r>
        <w:rPr>
          <w:rFonts w:hint="eastAsia" w:ascii="仿宋_GB2312" w:eastAsia="仿宋_GB2312" w:cs="Times New Roman"/>
          <w:sz w:val="32"/>
          <w:szCs w:val="32"/>
        </w:rPr>
        <w:t>内设</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个部门，分别为综合管理部、战略新材料部、前沿新材料部、智能新能源汽车部、新能源部、高端装备制造部、未来产业科技部、创新发展部。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555"/>
        <w:outlineLvl w:val="0"/>
      </w:pPr>
      <w:r>
        <w:rPr>
          <w:rFonts w:hint="eastAsia" w:ascii="仿宋_GB2312" w:eastAsia="仿宋_GB2312"/>
          <w:sz w:val="32"/>
          <w:szCs w:val="32"/>
        </w:rPr>
        <w:t>北京新材料和新能源科技发展中心</w:t>
      </w:r>
      <w:r>
        <w:rPr>
          <w:rFonts w:hint="eastAsia" w:ascii="仿宋_GB2312" w:eastAsia="仿宋_GB2312"/>
          <w:color w:val="000000"/>
          <w:sz w:val="32"/>
          <w:szCs w:val="32"/>
        </w:rPr>
        <w:t>行政编制</w:t>
      </w:r>
      <w:r>
        <w:rPr>
          <w:rFonts w:ascii="仿宋_GB2312" w:eastAsia="仿宋_GB2312"/>
          <w:color w:val="000000"/>
          <w:sz w:val="32"/>
          <w:szCs w:val="32"/>
        </w:rPr>
        <w:t>0</w:t>
      </w:r>
      <w:r>
        <w:rPr>
          <w:rFonts w:hint="eastAsia" w:ascii="仿宋_GB2312" w:eastAsia="仿宋_GB2312"/>
          <w:color w:val="000000"/>
          <w:sz w:val="32"/>
          <w:szCs w:val="32"/>
        </w:rPr>
        <w:t>人，实有人数</w:t>
      </w:r>
      <w:r>
        <w:rPr>
          <w:rFonts w:ascii="仿宋_GB2312" w:eastAsia="仿宋_GB2312"/>
          <w:color w:val="000000"/>
          <w:sz w:val="32"/>
          <w:szCs w:val="32"/>
        </w:rPr>
        <w:t>0</w:t>
      </w:r>
      <w:r>
        <w:rPr>
          <w:rFonts w:hint="eastAsia" w:ascii="仿宋_GB2312" w:eastAsia="仿宋_GB2312"/>
          <w:color w:val="000000"/>
          <w:sz w:val="32"/>
          <w:szCs w:val="32"/>
        </w:rPr>
        <w:t>人；事业编制58人，实有人数55人；</w:t>
      </w:r>
      <w:r>
        <w:rPr>
          <w:rFonts w:hint="eastAsia" w:ascii="仿宋_GB2312" w:eastAsia="仿宋_GB2312"/>
          <w:sz w:val="32"/>
          <w:szCs w:val="32"/>
        </w:rPr>
        <w:t>离退休人员3人，其中：离休</w:t>
      </w:r>
      <w:r>
        <w:rPr>
          <w:rFonts w:ascii="仿宋_GB2312" w:eastAsia="仿宋_GB2312"/>
          <w:sz w:val="32"/>
          <w:szCs w:val="32"/>
        </w:rPr>
        <w:t>0</w:t>
      </w:r>
      <w:r>
        <w:rPr>
          <w:rFonts w:hint="eastAsia" w:ascii="仿宋_GB2312" w:eastAsia="仿宋_GB2312"/>
          <w:sz w:val="32"/>
          <w:szCs w:val="32"/>
        </w:rPr>
        <w:t>人，退休3人，聘用人员（其他聘用人员--临时工）0人。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2022年收入预算（含</w:t>
      </w:r>
      <w:r>
        <w:rPr>
          <w:rFonts w:hint="eastAsia" w:ascii="仿宋_GB2312" w:eastAsia="仿宋_GB2312"/>
          <w:sz w:val="32"/>
          <w:szCs w:val="32"/>
        </w:rPr>
        <w:t>北京市科学技术委员会老干部服务中心、北京市高新技术成果转化服务中心、北京市科委行政事务服务中心、北京科技协作中心、北京市科技信息中心、北京市科学技术委员会农村发展中心、北京生产力促进中心、北</w:t>
      </w:r>
      <w:r>
        <w:rPr>
          <w:rFonts w:hint="eastAsia" w:ascii="仿宋_GB2312" w:eastAsia="仿宋_GB2312"/>
          <w:sz w:val="32"/>
          <w:szCs w:val="32"/>
          <w:highlight w:val="none"/>
        </w:rPr>
        <w:t>京生物技术和</w:t>
      </w:r>
      <w:r>
        <w:rPr>
          <w:rFonts w:hint="eastAsia" w:ascii="仿宋_GB2312" w:eastAsia="仿宋_GB2312"/>
          <w:sz w:val="32"/>
          <w:szCs w:val="32"/>
        </w:rPr>
        <w:t>新医药产业促进中心、北京工业设计促进中心、北京市科学技术委员会人才交流中心、北京技术交易促进中心</w:t>
      </w:r>
      <w:r>
        <w:rPr>
          <w:rFonts w:hint="eastAsia" w:ascii="仿宋_GB2312" w:eastAsia="仿宋_GB2312"/>
          <w:sz w:val="32"/>
          <w:szCs w:val="32"/>
          <w:lang w:eastAsia="zh-CN"/>
        </w:rPr>
        <w:t>、</w:t>
      </w:r>
      <w:r>
        <w:rPr>
          <w:rFonts w:hint="eastAsia" w:ascii="仿宋_GB2312" w:eastAsia="仿宋_GB2312"/>
          <w:sz w:val="32"/>
          <w:szCs w:val="32"/>
        </w:rPr>
        <w:t>北京科学技术开发交流中心、北京市可持续发展科技促进中心、北京市科技传播中心、北京科学仪器装备协作服务中心）</w:t>
      </w:r>
      <w:r>
        <w:rPr>
          <w:rFonts w:hint="eastAsia" w:ascii="仿宋_GB2312" w:eastAsia="仿宋_GB2312"/>
          <w:color w:val="000000"/>
          <w:sz w:val="32"/>
          <w:szCs w:val="32"/>
        </w:rPr>
        <w:t>为</w:t>
      </w:r>
      <w:r>
        <w:rPr>
          <w:rFonts w:hint="eastAsia" w:ascii="仿宋_GB2312" w:eastAsia="仿宋_GB2312"/>
          <w:sz w:val="32"/>
          <w:szCs w:val="32"/>
        </w:rPr>
        <w:t>19,034.87万元，剔除15家涉改事业单位基本经费收入数据后，北京新材料和新能源科技发展中心</w:t>
      </w:r>
      <w:r>
        <w:rPr>
          <w:rFonts w:hint="eastAsia" w:ascii="仿宋_GB2312" w:eastAsia="仿宋_GB2312"/>
          <w:color w:val="000000"/>
          <w:sz w:val="32"/>
          <w:szCs w:val="32"/>
        </w:rPr>
        <w:t>2022年收入预算2,394.50万元，比2021年2,587.74万元减少193.24万元，减少7.47%。其中：本年财政拨款收入2,394.50万元,比2021年1,708.30万元增加686.20万元。本年其他资金收入0万元,比2021年844.79万元减少844.79万元；上年结转结余资金0万元,比2021年34.64万元减少34.64万元。主要原因：</w:t>
      </w:r>
      <w:r>
        <w:rPr>
          <w:rFonts w:hint="eastAsia" w:ascii="仿宋_GB2312" w:eastAsia="仿宋_GB2312"/>
          <w:sz w:val="32"/>
          <w:szCs w:val="32"/>
        </w:rPr>
        <w:t>根据市编办批复，我单位由公益二类事业单位，调整为公益一类事业单位，基本经费全部转为财政资金承担，2022年预算无其他资金收入。</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2022年支出预算（含</w:t>
      </w:r>
      <w:r>
        <w:rPr>
          <w:rFonts w:hint="eastAsia" w:ascii="仿宋_GB2312" w:eastAsia="仿宋_GB2312"/>
          <w:sz w:val="32"/>
          <w:szCs w:val="32"/>
        </w:rPr>
        <w:t>北京市科学技术委员会老干部服务中心、北京市高新技术成果转化服务中心、北京市科委行政事务服务中心、北京科技协作中心、北京市科技信息中心、北京市科学技术委员会农村发展中心、北京生产力促进中心、北京生物技术和新医药产业促进中心、北京工业设计促进中心、北京市科学技术委员会人才交流中心、北京技术交易促进中心</w:t>
      </w:r>
      <w:r>
        <w:rPr>
          <w:rFonts w:hint="eastAsia" w:ascii="仿宋_GB2312" w:eastAsia="仿宋_GB2312"/>
          <w:sz w:val="32"/>
          <w:szCs w:val="32"/>
          <w:lang w:eastAsia="zh-CN"/>
        </w:rPr>
        <w:t>、</w:t>
      </w:r>
      <w:r>
        <w:rPr>
          <w:rFonts w:hint="eastAsia" w:ascii="仿宋_GB2312" w:eastAsia="仿宋_GB2312"/>
          <w:sz w:val="32"/>
          <w:szCs w:val="32"/>
        </w:rPr>
        <w:t>北京科学技术开发交流中心、北京市可持续发展科技促进中心、北京市科技传播中心、北京科学仪器装备协作服务中心）</w:t>
      </w:r>
      <w:r>
        <w:rPr>
          <w:rFonts w:hint="eastAsia" w:ascii="仿宋_GB2312" w:eastAsia="仿宋_GB2312"/>
          <w:color w:val="000000"/>
          <w:sz w:val="32"/>
          <w:szCs w:val="32"/>
        </w:rPr>
        <w:t>为19,034.87万元，</w:t>
      </w:r>
      <w:r>
        <w:rPr>
          <w:rFonts w:hint="eastAsia" w:ascii="仿宋_GB2312" w:eastAsia="仿宋_GB2312"/>
          <w:sz w:val="32"/>
          <w:szCs w:val="32"/>
        </w:rPr>
        <w:t>剔除15家涉改事业单位基本经费支出数据后，北京新材料和新能源科技发展中心</w:t>
      </w:r>
      <w:r>
        <w:rPr>
          <w:rFonts w:hint="eastAsia" w:ascii="仿宋_GB2312" w:eastAsia="仿宋_GB2312"/>
          <w:color w:val="000000"/>
          <w:sz w:val="32"/>
          <w:szCs w:val="32"/>
        </w:rPr>
        <w:t>2022年支出预算2,394.50万元，比2021年2,587.74万元减少193.24万元，减少7.47%。</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2,190.33万元，占总支出预算91.47%，比2021年2,356.42万元减少166.09万元，下降7.05%，主要原因为人员减少导致的人员经费降低。项目支出预算204.17万元，比2021年231.32万元减少27.15万元，下降11.74%，减少原因：2022年无继续使用的财政性结转资金项目。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2.上缴上级支出0万元。</w:t>
      </w:r>
    </w:p>
    <w:p>
      <w:pPr>
        <w:spacing w:line="560" w:lineRule="exact"/>
        <w:ind w:firstLine="640"/>
        <w:rPr>
          <w:rFonts w:eastAsia="仿宋_GB2312"/>
        </w:rPr>
      </w:pPr>
      <w:r>
        <w:rPr>
          <w:rFonts w:hint="eastAsia" w:ascii="仿宋_GB2312" w:eastAsia="仿宋_GB2312"/>
          <w:color w:val="000000"/>
          <w:sz w:val="32"/>
          <w:szCs w:val="32"/>
        </w:rPr>
        <w:t>3.对附属单位补助支出0万元。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ind w:firstLine="640" w:firstLineChars="200"/>
        <w:rPr>
          <w:rFonts w:ascii="仿宋_GB2312" w:eastAsia="仿宋_GB2312"/>
          <w:sz w:val="32"/>
          <w:szCs w:val="32"/>
        </w:rPr>
      </w:pPr>
      <w:r>
        <w:rPr>
          <w:rFonts w:hint="eastAsia" w:ascii="仿宋_GB2312" w:eastAsia="仿宋_GB2312"/>
          <w:sz w:val="32"/>
          <w:szCs w:val="32"/>
        </w:rPr>
        <w:t>根据北京市科学技术委员会、中关村科技园区管理委员会工作安排，2022年北京新材料和新能源科技发展中心预算支出主要用于新能源、新材料、新能源汽车、装备制造等相关领域科技创新布局研究、项目凝练、项目管理和创新主体服务等</w:t>
      </w:r>
      <w:r>
        <w:rPr>
          <w:rFonts w:hint="eastAsia" w:ascii="仿宋_GB2312" w:hAnsi="仿宋_GB2312" w:eastAsia="仿宋_GB2312" w:cs="仿宋_GB2312"/>
          <w:sz w:val="32"/>
          <w:szCs w:val="32"/>
        </w:rPr>
        <w:t>方面：</w:t>
      </w:r>
    </w:p>
    <w:p>
      <w:pPr>
        <w:ind w:firstLine="555"/>
        <w:rPr>
          <w:rFonts w:ascii="仿宋_GB2312" w:eastAsia="仿宋_GB2312"/>
          <w:sz w:val="32"/>
          <w:szCs w:val="32"/>
        </w:rPr>
      </w:pPr>
      <w:r>
        <w:rPr>
          <w:rFonts w:hint="eastAsia" w:ascii="仿宋_GB2312" w:eastAsia="仿宋_GB2312"/>
          <w:sz w:val="32"/>
          <w:szCs w:val="32"/>
        </w:rPr>
        <w:t>（一）领域科技创新布局研究方面</w:t>
      </w:r>
    </w:p>
    <w:p>
      <w:pPr>
        <w:ind w:firstLine="555"/>
        <w:rPr>
          <w:rFonts w:ascii="仿宋_GB2312" w:eastAsia="仿宋_GB2312"/>
          <w:sz w:val="32"/>
          <w:szCs w:val="32"/>
        </w:rPr>
      </w:pPr>
      <w:r>
        <w:rPr>
          <w:rFonts w:hint="eastAsia" w:ascii="仿宋_GB2312" w:eastAsia="仿宋_GB2312"/>
          <w:sz w:val="32"/>
          <w:szCs w:val="32"/>
        </w:rPr>
        <w:t>深入开展领域摸底及研究，梳理领域创新资源，研究分析国内外及本市基础及应用技术发展现状，提供科技创新发展相关报告、领域应用分析报告和政策建议，形成一批高质量、有深度的研究成果。</w:t>
      </w:r>
    </w:p>
    <w:p>
      <w:pPr>
        <w:ind w:firstLine="555"/>
        <w:rPr>
          <w:rFonts w:ascii="仿宋_GB2312" w:eastAsia="仿宋_GB2312"/>
          <w:sz w:val="32"/>
          <w:szCs w:val="32"/>
        </w:rPr>
      </w:pPr>
      <w:r>
        <w:rPr>
          <w:rFonts w:hint="eastAsia" w:ascii="仿宋_GB2312" w:eastAsia="仿宋_GB2312"/>
          <w:sz w:val="32"/>
          <w:szCs w:val="32"/>
        </w:rPr>
        <w:t>（二）项目组织管理方面</w:t>
      </w:r>
    </w:p>
    <w:p>
      <w:pPr>
        <w:ind w:firstLine="555"/>
        <w:rPr>
          <w:rFonts w:ascii="仿宋_GB2312" w:eastAsia="仿宋_GB2312"/>
          <w:sz w:val="32"/>
          <w:szCs w:val="32"/>
        </w:rPr>
      </w:pPr>
      <w:r>
        <w:rPr>
          <w:rFonts w:hint="eastAsia" w:ascii="仿宋_GB2312" w:eastAsia="仿宋_GB2312"/>
          <w:sz w:val="32"/>
          <w:szCs w:val="32"/>
        </w:rPr>
        <w:t>围绕国际科创中心建设开展科技项目组织管理，推进关键核心技术自主可控，布局相关邻域等科技创新并推动成果转化、成果迭代，加速产业培育，持续引导产业资源聚集，推动产业承载区转型；促进产学研深度融合，实现创新链条上下游资源对接、协同推进，积极培育经济发展新动能，推动一批重点项目在京建设。</w:t>
      </w:r>
    </w:p>
    <w:p>
      <w:pPr>
        <w:ind w:firstLine="555"/>
        <w:rPr>
          <w:rFonts w:ascii="仿宋_GB2312" w:eastAsia="仿宋_GB2312"/>
          <w:sz w:val="32"/>
          <w:szCs w:val="32"/>
        </w:rPr>
      </w:pPr>
      <w:r>
        <w:rPr>
          <w:rFonts w:hint="eastAsia" w:ascii="仿宋_GB2312" w:eastAsia="仿宋_GB2312"/>
          <w:sz w:val="32"/>
          <w:szCs w:val="32"/>
        </w:rPr>
        <w:t>（三）创新主体服务方面</w:t>
      </w:r>
    </w:p>
    <w:p>
      <w:pPr>
        <w:ind w:firstLine="555"/>
      </w:pPr>
      <w:r>
        <w:rPr>
          <w:rFonts w:hint="eastAsia" w:ascii="仿宋_GB2312" w:eastAsia="仿宋_GB2312"/>
          <w:sz w:val="32"/>
          <w:szCs w:val="32"/>
        </w:rPr>
        <w:t>推动相关领域高精尖产业发展，支撑北京石墨烯研究院、北京纳米能源与系统研究所、国家新能源汽车技术创新中心等重点研发机构建设，推动体制机制改革，加速技术应用场景落地。跟踪推动重点产业化项目建设，促进重点领域共性技术平台搭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北京新材料和新能源科技发展中心</w:t>
      </w:r>
      <w:r>
        <w:rPr>
          <w:rFonts w:hint="eastAsia" w:ascii="仿宋_GB2312" w:eastAsia="仿宋_GB2312"/>
          <w:color w:val="000000"/>
          <w:sz w:val="32"/>
          <w:szCs w:val="32"/>
        </w:rPr>
        <w:t>因公出国（境）费用、公务接待费、公务用车购置和运行维护费开支单位包括1个所属单位。</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2022年“三公”经费财政拨款预算67.30万元，其中，</w:t>
      </w:r>
      <w:r>
        <w:rPr>
          <w:rFonts w:hint="eastAsia" w:ascii="仿宋_GB2312" w:eastAsia="仿宋_GB2312"/>
          <w:sz w:val="32"/>
          <w:szCs w:val="32"/>
        </w:rPr>
        <w:t>北京新材料和新能源科技发展中心</w:t>
      </w:r>
      <w:r>
        <w:rPr>
          <w:rFonts w:hint="eastAsia" w:ascii="仿宋_GB2312" w:eastAsia="仿宋_GB2312"/>
          <w:color w:val="000000"/>
          <w:sz w:val="32"/>
          <w:szCs w:val="32"/>
        </w:rPr>
        <w:t>10万元，比2021年“三公”经费财政拨款预算增加10万元。其中：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1.因公出国（境）费用。2022年预算数0万元。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2.公务接待费。2022年预算数0万元。</w:t>
      </w:r>
    </w:p>
    <w:p>
      <w:pPr>
        <w:ind w:firstLine="600"/>
        <w:rPr>
          <w:rFonts w:ascii="仿宋_GB2312" w:eastAsia="仿宋_GB2312"/>
          <w:sz w:val="32"/>
          <w:szCs w:val="32"/>
        </w:rPr>
      </w:pPr>
      <w:r>
        <w:rPr>
          <w:rFonts w:hint="eastAsia" w:ascii="仿宋_GB2312" w:eastAsia="仿宋_GB2312"/>
          <w:color w:val="000000"/>
          <w:sz w:val="32"/>
          <w:szCs w:val="32"/>
        </w:rPr>
        <w:t>3.公务用车购置和运行维护费。2022年预算数10万元，其中，公务用车购置费2022年预算数0万元；公务用车运行维护费2022年预算数10万元，其中：公务用车燃油5.30万元，公务用车维修1.70万元，公务用车保险1.70万元，其他支出1.30万元。公务用车运行维护费2022年比2021年预算数0万元增加10万元。</w:t>
      </w:r>
      <w:r>
        <w:rPr>
          <w:rFonts w:hint="eastAsia" w:ascii="仿宋_GB2312" w:eastAsia="仿宋_GB2312"/>
          <w:sz w:val="32"/>
          <w:szCs w:val="32"/>
        </w:rPr>
        <w:t>主要原因：北京新材料和新能源科技发展中心由北京新材料发展中心与北京市新能源汽车发展促进中心整合设立，原两中心运维车辆共4辆，依据机关事务管理局意见过户至</w:t>
      </w:r>
      <w:r>
        <w:rPr>
          <w:rFonts w:hint="eastAsia" w:ascii="仿宋_GB2312" w:eastAsia="仿宋_GB2312"/>
          <w:color w:val="000000"/>
          <w:sz w:val="32"/>
          <w:szCs w:val="32"/>
        </w:rPr>
        <w:t>新中心使用，相关资产调配工作正在进行中。</w:t>
      </w:r>
      <w:r>
        <w:rPr>
          <w:rFonts w:hint="eastAsia" w:ascii="仿宋_GB2312" w:eastAsia="仿宋_GB2312"/>
          <w:sz w:val="32"/>
          <w:szCs w:val="32"/>
        </w:rPr>
        <w:t>根据事业单位改革方案及文件精神以及市编办批复，我单位由公益二类事业单位，调整为公益一类事业单位，公用经费由单位资金承担转为财政资金承担，财政拨款公务用车运行维护费费用增加。</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rPr>
        <w:t>北京新材料和新能源科技发展中心</w:t>
      </w:r>
      <w:r>
        <w:rPr>
          <w:rFonts w:hint="eastAsia" w:ascii="仿宋_GB2312" w:eastAsia="仿宋_GB2312"/>
          <w:color w:val="000000"/>
          <w:sz w:val="32"/>
          <w:szCs w:val="32"/>
        </w:rPr>
        <w:t>政府采购预算总额72.11万元，其中：政府采购货物预算4.30万元，政府采购工程预算0万元，政府采购服务预算67.81万元。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我单位2022年无政府购买服务预算。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rPr>
        <w:t>北京新材料和新能源科技发展中心</w:t>
      </w:r>
      <w:r>
        <w:rPr>
          <w:rFonts w:hint="eastAsia" w:ascii="仿宋_GB2312" w:eastAsia="仿宋_GB2312"/>
          <w:color w:val="000000"/>
          <w:sz w:val="32"/>
          <w:szCs w:val="32"/>
        </w:rPr>
        <w:t>填报绩效目标的预算项目3个，占本单位全部预算项目3个的100%。填报绩效目标的项目支出预算204.17万元，占本单位年初全部项目支出预算的100%。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 xml:space="preserve">    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截至2021年底，双新中心共有车辆0台，共计0万元；单位价值50万元以上的通用设备0台（套），共计0万元，单位价值100万元以上的专用设备0台（套），共计0万元。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rPr>
          <w:rFonts w:ascii="方正小标宋简体" w:eastAsia="方正小标宋简体"/>
          <w:color w:val="000000"/>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附件：北京新材料和新能源科技发展中心2022年度单位预算报表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DDF138"/>
    <w:multiLevelType w:val="singleLevel"/>
    <w:tmpl w:val="B7DDF138"/>
    <w:lvl w:ilvl="0" w:tentative="0">
      <w:start w:val="2"/>
      <w:numFmt w:val="chineseCounting"/>
      <w:suff w:val="nothing"/>
      <w:lvlText w:val="（%1）"/>
      <w:lvlJc w:val="left"/>
      <w:rPr>
        <w:rFonts w:hint="eastAsia"/>
      </w:rPr>
    </w:lvl>
  </w:abstractNum>
  <w:abstractNum w:abstractNumId="1">
    <w:nsid w:val="E95640A0"/>
    <w:multiLevelType w:val="singleLevel"/>
    <w:tmpl w:val="E95640A0"/>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3D5878"/>
    <w:rsid w:val="00012084"/>
    <w:rsid w:val="00023DA8"/>
    <w:rsid w:val="000B40AD"/>
    <w:rsid w:val="001C60B9"/>
    <w:rsid w:val="001D49FA"/>
    <w:rsid w:val="00223EF0"/>
    <w:rsid w:val="0026328F"/>
    <w:rsid w:val="002762C0"/>
    <w:rsid w:val="002D67F3"/>
    <w:rsid w:val="002D6917"/>
    <w:rsid w:val="003428AC"/>
    <w:rsid w:val="00373059"/>
    <w:rsid w:val="0038570C"/>
    <w:rsid w:val="003B176B"/>
    <w:rsid w:val="003D0720"/>
    <w:rsid w:val="003D168A"/>
    <w:rsid w:val="003D4095"/>
    <w:rsid w:val="00444F66"/>
    <w:rsid w:val="004606A5"/>
    <w:rsid w:val="00464DBB"/>
    <w:rsid w:val="0050082D"/>
    <w:rsid w:val="005507C0"/>
    <w:rsid w:val="00573282"/>
    <w:rsid w:val="005C4527"/>
    <w:rsid w:val="00676846"/>
    <w:rsid w:val="00751BC7"/>
    <w:rsid w:val="007B7EE1"/>
    <w:rsid w:val="00892564"/>
    <w:rsid w:val="009702C4"/>
    <w:rsid w:val="0099438F"/>
    <w:rsid w:val="009C3E09"/>
    <w:rsid w:val="009D0360"/>
    <w:rsid w:val="00A703EE"/>
    <w:rsid w:val="00AC791C"/>
    <w:rsid w:val="00B23121"/>
    <w:rsid w:val="00B71369"/>
    <w:rsid w:val="00C3701B"/>
    <w:rsid w:val="00D17FBD"/>
    <w:rsid w:val="00D80ED2"/>
    <w:rsid w:val="00DD0653"/>
    <w:rsid w:val="00E93D7D"/>
    <w:rsid w:val="00EC456C"/>
    <w:rsid w:val="00EF4409"/>
    <w:rsid w:val="00FA4D24"/>
    <w:rsid w:val="00FC5EDD"/>
    <w:rsid w:val="025521B1"/>
    <w:rsid w:val="0336133E"/>
    <w:rsid w:val="03C53BE6"/>
    <w:rsid w:val="05315B2E"/>
    <w:rsid w:val="074A6356"/>
    <w:rsid w:val="0898304E"/>
    <w:rsid w:val="095D419F"/>
    <w:rsid w:val="097C2EB5"/>
    <w:rsid w:val="09F07EEC"/>
    <w:rsid w:val="0A357717"/>
    <w:rsid w:val="0A3775A4"/>
    <w:rsid w:val="0B5453B6"/>
    <w:rsid w:val="10F66892"/>
    <w:rsid w:val="14835342"/>
    <w:rsid w:val="153A443E"/>
    <w:rsid w:val="176673C4"/>
    <w:rsid w:val="177E08B8"/>
    <w:rsid w:val="196D2285"/>
    <w:rsid w:val="1A1A66A3"/>
    <w:rsid w:val="1AD044A0"/>
    <w:rsid w:val="1E3B34BE"/>
    <w:rsid w:val="206746AF"/>
    <w:rsid w:val="22C811DB"/>
    <w:rsid w:val="237D7105"/>
    <w:rsid w:val="27BD7DF8"/>
    <w:rsid w:val="2CD1207D"/>
    <w:rsid w:val="2D6E7A67"/>
    <w:rsid w:val="2DE704F3"/>
    <w:rsid w:val="2DED7CB5"/>
    <w:rsid w:val="2E7D3F3E"/>
    <w:rsid w:val="30053A0D"/>
    <w:rsid w:val="302C79CA"/>
    <w:rsid w:val="30410709"/>
    <w:rsid w:val="3043555D"/>
    <w:rsid w:val="31CC66B3"/>
    <w:rsid w:val="32C86525"/>
    <w:rsid w:val="378158E8"/>
    <w:rsid w:val="38EC2817"/>
    <w:rsid w:val="399B57E9"/>
    <w:rsid w:val="39B7161A"/>
    <w:rsid w:val="3A0835AC"/>
    <w:rsid w:val="3A381B0F"/>
    <w:rsid w:val="3AAE3007"/>
    <w:rsid w:val="3ACA2C1C"/>
    <w:rsid w:val="3BE63123"/>
    <w:rsid w:val="3CE15F8C"/>
    <w:rsid w:val="3E15655F"/>
    <w:rsid w:val="3E50585B"/>
    <w:rsid w:val="3EC74A26"/>
    <w:rsid w:val="3FCC262F"/>
    <w:rsid w:val="4D9F3CA8"/>
    <w:rsid w:val="4DDE0F9F"/>
    <w:rsid w:val="50D92BBF"/>
    <w:rsid w:val="543648C0"/>
    <w:rsid w:val="55184571"/>
    <w:rsid w:val="55195EBF"/>
    <w:rsid w:val="56583948"/>
    <w:rsid w:val="566D7775"/>
    <w:rsid w:val="58624AEE"/>
    <w:rsid w:val="59043A74"/>
    <w:rsid w:val="59383B07"/>
    <w:rsid w:val="5A4C7D60"/>
    <w:rsid w:val="5D614EC7"/>
    <w:rsid w:val="5DE80472"/>
    <w:rsid w:val="5FD53C12"/>
    <w:rsid w:val="61414D61"/>
    <w:rsid w:val="62B15989"/>
    <w:rsid w:val="64157C1E"/>
    <w:rsid w:val="6B8F5324"/>
    <w:rsid w:val="6CA9626F"/>
    <w:rsid w:val="6E4F472D"/>
    <w:rsid w:val="70360D00"/>
    <w:rsid w:val="71BA3548"/>
    <w:rsid w:val="722F30F8"/>
    <w:rsid w:val="731610A4"/>
    <w:rsid w:val="73492E90"/>
    <w:rsid w:val="74FB14A6"/>
    <w:rsid w:val="75454B2E"/>
    <w:rsid w:val="78815BF3"/>
    <w:rsid w:val="798815FB"/>
    <w:rsid w:val="7CB925E2"/>
    <w:rsid w:val="7CBD7FCC"/>
    <w:rsid w:val="7F3D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2"/>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3"/>
    <w:next w:val="3"/>
    <w:link w:val="15"/>
    <w:qFormat/>
    <w:uiPriority w:val="0"/>
    <w:rPr>
      <w:b/>
      <w:bCs/>
    </w:rPr>
  </w:style>
  <w:style w:type="character" w:styleId="11">
    <w:name w:val="annotation reference"/>
    <w:basedOn w:val="10"/>
    <w:qFormat/>
    <w:uiPriority w:val="0"/>
    <w:rPr>
      <w:sz w:val="21"/>
      <w:szCs w:val="21"/>
    </w:rPr>
  </w:style>
  <w:style w:type="character" w:customStyle="1" w:styleId="12">
    <w:name w:val="批注框文本 Char"/>
    <w:basedOn w:val="10"/>
    <w:link w:val="5"/>
    <w:qFormat/>
    <w:uiPriority w:val="0"/>
    <w:rPr>
      <w:rFonts w:ascii="Times New Roman" w:hAnsi="Times New Roman" w:eastAsia="宋体" w:cs="Droid Sans"/>
      <w:kern w:val="2"/>
      <w:sz w:val="18"/>
      <w:szCs w:val="18"/>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Char"/>
    <w:basedOn w:val="10"/>
    <w:link w:val="3"/>
    <w:qFormat/>
    <w:uiPriority w:val="0"/>
    <w:rPr>
      <w:rFonts w:ascii="Times New Roman" w:hAnsi="Times New Roman" w:eastAsia="宋体" w:cs="Droid Sans"/>
      <w:kern w:val="2"/>
      <w:sz w:val="21"/>
      <w:szCs w:val="24"/>
    </w:rPr>
  </w:style>
  <w:style w:type="character" w:customStyle="1" w:styleId="15">
    <w:name w:val="批注主题 Char"/>
    <w:basedOn w:val="14"/>
    <w:link w:val="8"/>
    <w:qFormat/>
    <w:uiPriority w:val="0"/>
    <w:rPr>
      <w:rFonts w:ascii="Times New Roman" w:hAnsi="Times New Roman" w:eastAsia="宋体" w:cs="Droid Sans"/>
      <w:kern w:val="2"/>
      <w:sz w:val="21"/>
      <w:szCs w:val="24"/>
    </w:rPr>
  </w:style>
  <w:style w:type="paragraph" w:customStyle="1" w:styleId="16">
    <w:name w:val="修订2"/>
    <w:hidden/>
    <w:unhideWhenUsed/>
    <w:qFormat/>
    <w:uiPriority w:val="99"/>
    <w:rPr>
      <w:rFonts w:ascii="Times New Roman" w:hAnsi="Times New Roman" w:eastAsia="宋体" w:cs="Droid Sans"/>
      <w:kern w:val="2"/>
      <w:sz w:val="21"/>
      <w:szCs w:val="24"/>
      <w:lang w:val="en-US" w:eastAsia="zh-CN" w:bidi="ar-SA"/>
    </w:rPr>
  </w:style>
  <w:style w:type="paragraph" w:customStyle="1" w:styleId="17">
    <w:name w:val="修订3"/>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72F5D6-308A-4037-A574-7F94138985C6}">
  <ds:schemaRefs/>
</ds:datastoreItem>
</file>

<file path=docProps/app.xml><?xml version="1.0" encoding="utf-8"?>
<Properties xmlns="http://schemas.openxmlformats.org/officeDocument/2006/extended-properties" xmlns:vt="http://schemas.openxmlformats.org/officeDocument/2006/docPropsVTypes">
  <Template>Normal</Template>
  <Pages>9</Pages>
  <Words>530</Words>
  <Characters>3022</Characters>
  <Lines>25</Lines>
  <Paragraphs>7</Paragraphs>
  <TotalTime>12</TotalTime>
  <ScaleCrop>false</ScaleCrop>
  <LinksUpToDate>false</LinksUpToDate>
  <CharactersWithSpaces>3545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2022-03-01T02:05:00Z</dcterms:created>
  <dc:creator>leo-yao</dc:creator>
  <cp:lastModifiedBy>leo-yao</cp:lastModifiedBy>
  <cp:lastPrinted>2022-02-18T01:14:00Z</cp:lastPrinted>
  <dcterms:modified xsi:type="dcterms:W3CDTF">2022-03-01T06:18:46Z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13E281AF66044552BF14F18284D22BE9</vt:lpwstr>
  </property>
</Properties>
</file>