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北京科技创新促进中心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w:t>
      </w:r>
      <w:r>
        <w:rPr>
          <w:rFonts w:ascii="仿宋_GB2312" w:eastAsia="仿宋_GB2312"/>
          <w:sz w:val="32"/>
          <w:szCs w:val="32"/>
        </w:rPr>
        <w:t>京编委</w:t>
      </w:r>
      <w:r>
        <w:rPr>
          <w:rFonts w:hint="eastAsia" w:ascii="仿宋_GB2312" w:eastAsia="仿宋_GB2312"/>
          <w:sz w:val="32"/>
          <w:szCs w:val="32"/>
          <w:lang w:val="en-US" w:eastAsia="zh-CN"/>
        </w:rPr>
        <w:t>[</w:t>
      </w:r>
      <w:r>
        <w:rPr>
          <w:rFonts w:ascii="仿宋_GB2312" w:eastAsia="仿宋_GB2312"/>
          <w:sz w:val="32"/>
          <w:szCs w:val="32"/>
        </w:rPr>
        <w:t>2021</w:t>
      </w:r>
      <w:r>
        <w:rPr>
          <w:rFonts w:hint="eastAsia" w:ascii="仿宋_GB2312" w:eastAsia="仿宋_GB2312"/>
          <w:sz w:val="32"/>
          <w:szCs w:val="32"/>
          <w:lang w:val="en-US" w:eastAsia="zh-CN"/>
        </w:rPr>
        <w:t>]</w:t>
      </w:r>
      <w:r>
        <w:rPr>
          <w:rFonts w:hint="eastAsia" w:ascii="仿宋_GB2312" w:eastAsia="仿宋_GB2312"/>
          <w:sz w:val="32"/>
          <w:szCs w:val="32"/>
        </w:rPr>
        <w:t>66</w:t>
      </w:r>
      <w:r>
        <w:rPr>
          <w:rFonts w:ascii="仿宋_GB2312" w:eastAsia="仿宋_GB2312"/>
          <w:sz w:val="32"/>
          <w:szCs w:val="32"/>
        </w:rPr>
        <w:t>号</w:t>
      </w:r>
      <w:r>
        <w:rPr>
          <w:rFonts w:hint="eastAsia" w:ascii="仿宋_GB2312" w:eastAsia="仿宋_GB2312"/>
          <w:sz w:val="32"/>
          <w:szCs w:val="32"/>
        </w:rPr>
        <w:t>）的文件，整合北京科技协作中心、北京工业设计促进中心、北京市科委农村发展中心、北京市可持续发展科技促进中心、北京市科技传播中心，组建北京科技创新促进中心。</w:t>
      </w:r>
    </w:p>
    <w:p>
      <w:pPr>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根据中共北京市委机构编制委员会关于印发《北京科技创新促进中心机构职能编制规定》的通知（</w:t>
      </w:r>
      <w:r>
        <w:rPr>
          <w:rFonts w:ascii="仿宋_GB2312" w:eastAsia="仿宋_GB2312"/>
          <w:sz w:val="32"/>
          <w:szCs w:val="32"/>
        </w:rPr>
        <w:t>京编委</w:t>
      </w:r>
      <w:r>
        <w:rPr>
          <w:rFonts w:hint="eastAsia" w:ascii="仿宋_GB2312" w:eastAsia="仿宋_GB2312"/>
          <w:sz w:val="32"/>
          <w:szCs w:val="32"/>
        </w:rPr>
        <w:t>发</w:t>
      </w:r>
      <w:r>
        <w:rPr>
          <w:rFonts w:hint="eastAsia" w:ascii="仿宋_GB2312" w:eastAsia="仿宋_GB2312"/>
          <w:sz w:val="32"/>
          <w:szCs w:val="32"/>
          <w:lang w:val="en-US" w:eastAsia="zh-CN"/>
        </w:rPr>
        <w:t>[</w:t>
      </w:r>
      <w:r>
        <w:rPr>
          <w:rFonts w:ascii="仿宋_GB2312" w:eastAsia="仿宋_GB2312"/>
          <w:sz w:val="32"/>
          <w:szCs w:val="32"/>
        </w:rPr>
        <w:t>2021</w:t>
      </w:r>
      <w:r>
        <w:rPr>
          <w:rFonts w:hint="eastAsia" w:ascii="仿宋_GB2312" w:eastAsia="仿宋_GB2312"/>
          <w:sz w:val="32"/>
          <w:szCs w:val="32"/>
          <w:lang w:val="en-US" w:eastAsia="zh-CN"/>
        </w:rPr>
        <w:t>]</w:t>
      </w:r>
      <w:r>
        <w:rPr>
          <w:rFonts w:hint="eastAsia" w:ascii="仿宋_GB2312" w:eastAsia="仿宋_GB2312"/>
          <w:sz w:val="32"/>
          <w:szCs w:val="32"/>
        </w:rPr>
        <w:t>5</w:t>
      </w:r>
      <w:r>
        <w:rPr>
          <w:rFonts w:ascii="仿宋_GB2312" w:eastAsia="仿宋_GB2312"/>
          <w:sz w:val="32"/>
          <w:szCs w:val="32"/>
        </w:rPr>
        <w:t>号</w:t>
      </w:r>
      <w:r>
        <w:rPr>
          <w:rFonts w:hint="eastAsia" w:ascii="仿宋_GB2312" w:eastAsia="仿宋_GB2312"/>
          <w:sz w:val="32"/>
          <w:szCs w:val="32"/>
        </w:rPr>
        <w:t>）文件，北京科技创新促进中心的主要职责是：</w:t>
      </w:r>
    </w:p>
    <w:p>
      <w:pPr>
        <w:ind w:firstLine="640" w:firstLineChars="200"/>
        <w:rPr>
          <w:rFonts w:ascii="仿宋_GB2312" w:eastAsia="仿宋_GB2312"/>
          <w:sz w:val="32"/>
          <w:szCs w:val="32"/>
        </w:rPr>
      </w:pPr>
      <w:r>
        <w:rPr>
          <w:rFonts w:hint="eastAsia" w:ascii="仿宋_GB2312" w:eastAsia="仿宋_GB2312"/>
          <w:sz w:val="32"/>
          <w:szCs w:val="32"/>
        </w:rPr>
        <w:t>1.承担本市科技创新促进方面的技术性事务性工作，为国际科技创新中心建设提供支持服务。</w:t>
      </w:r>
    </w:p>
    <w:p>
      <w:pPr>
        <w:ind w:firstLine="640" w:firstLineChars="200"/>
        <w:rPr>
          <w:rFonts w:ascii="仿宋_GB2312" w:eastAsia="仿宋_GB2312"/>
          <w:sz w:val="32"/>
          <w:szCs w:val="32"/>
        </w:rPr>
      </w:pPr>
      <w:r>
        <w:rPr>
          <w:rFonts w:hint="eastAsia" w:ascii="仿宋_GB2312" w:eastAsia="仿宋_GB2312"/>
          <w:sz w:val="32"/>
          <w:szCs w:val="32"/>
        </w:rPr>
        <w:t>2.承担在京中央企业和科研机构的联络服务工作，支持引导科技创新领域布局和成果转化落地。</w:t>
      </w:r>
    </w:p>
    <w:p>
      <w:pPr>
        <w:ind w:firstLine="640" w:firstLineChars="200"/>
        <w:rPr>
          <w:rFonts w:ascii="仿宋_GB2312" w:eastAsia="仿宋_GB2312"/>
          <w:sz w:val="32"/>
          <w:szCs w:val="32"/>
        </w:rPr>
      </w:pPr>
      <w:r>
        <w:rPr>
          <w:rFonts w:hint="eastAsia" w:ascii="仿宋_GB2312" w:eastAsia="仿宋_GB2312"/>
          <w:sz w:val="32"/>
          <w:szCs w:val="32"/>
        </w:rPr>
        <w:t>3.承担区域科技合作和京津冀科技协同创新的事务性工作，拓展京津冀创新链、产业链发展的战略纵深，承担京津冀协同创新项目管理有关具体工作。</w:t>
      </w:r>
    </w:p>
    <w:p>
      <w:pPr>
        <w:ind w:firstLine="640" w:firstLineChars="200"/>
        <w:rPr>
          <w:rFonts w:ascii="仿宋_GB2312" w:eastAsia="仿宋_GB2312"/>
          <w:sz w:val="32"/>
          <w:szCs w:val="32"/>
        </w:rPr>
      </w:pPr>
      <w:r>
        <w:rPr>
          <w:rFonts w:hint="eastAsia" w:ascii="仿宋_GB2312" w:eastAsia="仿宋_GB2312"/>
          <w:sz w:val="32"/>
          <w:szCs w:val="32"/>
        </w:rPr>
        <w:t>4.承担城市、农业农村、工业设计、文化、科技服务业等领域科技创新方面的布局研究、项目凝练、项目管理、创新主体联络服务等事务性工作。</w:t>
      </w:r>
    </w:p>
    <w:p>
      <w:pPr>
        <w:ind w:firstLine="640" w:firstLineChars="200"/>
        <w:rPr>
          <w:rFonts w:ascii="仿宋_GB2312" w:eastAsia="仿宋_GB2312"/>
          <w:sz w:val="32"/>
          <w:szCs w:val="32"/>
        </w:rPr>
      </w:pPr>
      <w:r>
        <w:rPr>
          <w:rFonts w:hint="eastAsia" w:ascii="仿宋_GB2312" w:eastAsia="仿宋_GB2312"/>
          <w:sz w:val="32"/>
          <w:szCs w:val="32"/>
        </w:rPr>
        <w:t>5.承担科技军民融合方面的技术需求对接、产品推广服务、科研资源共享等技术性事务性工作。</w:t>
      </w:r>
    </w:p>
    <w:p>
      <w:pPr>
        <w:ind w:firstLine="640" w:firstLineChars="200"/>
        <w:rPr>
          <w:rFonts w:ascii="仿宋_GB2312" w:eastAsia="仿宋_GB2312"/>
          <w:sz w:val="32"/>
          <w:szCs w:val="32"/>
        </w:rPr>
      </w:pPr>
      <w:r>
        <w:rPr>
          <w:rFonts w:hint="eastAsia" w:ascii="仿宋_GB2312" w:eastAsia="仿宋_GB2312"/>
          <w:sz w:val="32"/>
          <w:szCs w:val="32"/>
        </w:rPr>
        <w:t>6.承担本市科技资源共享、科技志愿服务，以及新型研发机构管理、科技金融服务等方面事务性工作。</w:t>
      </w:r>
    </w:p>
    <w:p>
      <w:pPr>
        <w:ind w:firstLine="640" w:firstLineChars="200"/>
        <w:rPr>
          <w:rFonts w:ascii="仿宋_GB2312" w:eastAsia="仿宋_GB2312"/>
          <w:sz w:val="32"/>
          <w:szCs w:val="32"/>
        </w:rPr>
      </w:pPr>
      <w:r>
        <w:rPr>
          <w:rFonts w:hint="eastAsia" w:ascii="仿宋_GB2312" w:eastAsia="仿宋_GB2312"/>
          <w:sz w:val="32"/>
          <w:szCs w:val="32"/>
        </w:rPr>
        <w:t>7.承担本市可持续发展科技促进工作，具体联系联合国教科文组织国际创意与可持续发展中心。</w:t>
      </w:r>
    </w:p>
    <w:p>
      <w:pPr>
        <w:ind w:firstLine="640" w:firstLineChars="200"/>
        <w:rPr>
          <w:rFonts w:ascii="仿宋_GB2312" w:eastAsia="仿宋_GB2312"/>
          <w:sz w:val="32"/>
          <w:szCs w:val="32"/>
        </w:rPr>
      </w:pPr>
      <w:r>
        <w:rPr>
          <w:rFonts w:hint="eastAsia" w:ascii="仿宋_GB2312" w:eastAsia="仿宋_GB2312"/>
          <w:sz w:val="32"/>
          <w:szCs w:val="32"/>
        </w:rPr>
        <w:t>8.承担科技融媒体等科技信息传播工作，承担国际科技创新中心融媒体平台建设、科技舆情监测等事务性工作，承担科普管理相关工作和市科普联席会议办公室日常工作。</w:t>
      </w:r>
    </w:p>
    <w:p>
      <w:pPr>
        <w:ind w:firstLine="640" w:firstLineChars="200"/>
        <w:rPr>
          <w:rFonts w:ascii="仿宋_GB2312" w:eastAsia="仿宋_GB2312"/>
          <w:sz w:val="32"/>
          <w:szCs w:val="32"/>
        </w:rPr>
      </w:pPr>
      <w:r>
        <w:rPr>
          <w:rFonts w:hint="eastAsia" w:ascii="仿宋_GB2312" w:eastAsia="仿宋_GB2312"/>
          <w:sz w:val="32"/>
          <w:szCs w:val="32"/>
        </w:rPr>
        <w:t>9.</w:t>
      </w:r>
      <w:r>
        <w:rPr>
          <w:rFonts w:ascii="仿宋_GB2312" w:eastAsia="仿宋_GB2312"/>
          <w:sz w:val="32"/>
          <w:szCs w:val="32"/>
        </w:rPr>
        <w:t>完成市科委、中关村管委会交办的其他任务。</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ind w:firstLine="640" w:firstLineChars="200"/>
        <w:rPr>
          <w:rFonts w:ascii="仿宋_GB2312" w:eastAsia="仿宋_GB2312"/>
          <w:sz w:val="32"/>
          <w:szCs w:val="32"/>
        </w:rPr>
      </w:pPr>
      <w:r>
        <w:rPr>
          <w:rFonts w:hint="eastAsia" w:ascii="仿宋_GB2312" w:eastAsia="仿宋_GB2312"/>
          <w:sz w:val="32"/>
          <w:szCs w:val="32"/>
        </w:rPr>
        <w:t>北京科技创新促进中心内设13个部门，分别为：</w:t>
      </w:r>
      <w:r>
        <w:rPr>
          <w:rFonts w:ascii="仿宋_GB2312" w:eastAsia="仿宋_GB2312"/>
          <w:sz w:val="32"/>
          <w:szCs w:val="32"/>
        </w:rPr>
        <w:t>办公室(研究室)</w:t>
      </w:r>
      <w:r>
        <w:rPr>
          <w:rFonts w:hint="eastAsia" w:ascii="仿宋_GB2312" w:eastAsia="仿宋_GB2312"/>
          <w:sz w:val="32"/>
          <w:szCs w:val="32"/>
        </w:rPr>
        <w:t>、</w:t>
      </w:r>
      <w:r>
        <w:rPr>
          <w:rFonts w:ascii="仿宋_GB2312" w:eastAsia="仿宋_GB2312"/>
          <w:sz w:val="32"/>
          <w:szCs w:val="32"/>
        </w:rPr>
        <w:t>央企联络部</w:t>
      </w:r>
      <w:r>
        <w:rPr>
          <w:rFonts w:hint="eastAsia" w:ascii="仿宋_GB2312" w:eastAsia="仿宋_GB2312"/>
          <w:sz w:val="32"/>
          <w:szCs w:val="32"/>
        </w:rPr>
        <w:t>、</w:t>
      </w:r>
      <w:r>
        <w:rPr>
          <w:rFonts w:ascii="仿宋_GB2312" w:eastAsia="仿宋_GB2312"/>
          <w:sz w:val="32"/>
          <w:szCs w:val="32"/>
        </w:rPr>
        <w:t>军民融合部</w:t>
      </w:r>
      <w:r>
        <w:rPr>
          <w:rFonts w:hint="eastAsia" w:ascii="仿宋_GB2312" w:eastAsia="仿宋_GB2312"/>
          <w:sz w:val="32"/>
          <w:szCs w:val="32"/>
        </w:rPr>
        <w:t>、</w:t>
      </w:r>
      <w:r>
        <w:rPr>
          <w:rFonts w:ascii="仿宋_GB2312" w:eastAsia="仿宋_GB2312"/>
          <w:sz w:val="32"/>
          <w:szCs w:val="32"/>
        </w:rPr>
        <w:t>区域科技合作部(京津冀科技创新部)</w:t>
      </w:r>
      <w:r>
        <w:rPr>
          <w:rFonts w:hint="eastAsia" w:ascii="仿宋_GB2312" w:eastAsia="仿宋_GB2312"/>
          <w:sz w:val="32"/>
          <w:szCs w:val="32"/>
        </w:rPr>
        <w:t>、</w:t>
      </w:r>
      <w:r>
        <w:rPr>
          <w:rFonts w:ascii="仿宋_GB2312" w:eastAsia="仿宋_GB2312"/>
          <w:sz w:val="32"/>
          <w:szCs w:val="32"/>
        </w:rPr>
        <w:t>科研机构管理部</w:t>
      </w:r>
      <w:r>
        <w:rPr>
          <w:rFonts w:hint="eastAsia" w:ascii="仿宋_GB2312" w:eastAsia="仿宋_GB2312"/>
          <w:sz w:val="32"/>
          <w:szCs w:val="32"/>
        </w:rPr>
        <w:t>、</w:t>
      </w:r>
      <w:r>
        <w:rPr>
          <w:rFonts w:ascii="仿宋_GB2312" w:eastAsia="仿宋_GB2312"/>
          <w:sz w:val="32"/>
          <w:szCs w:val="32"/>
        </w:rPr>
        <w:t>科技金融部</w:t>
      </w:r>
      <w:r>
        <w:rPr>
          <w:rFonts w:hint="eastAsia" w:ascii="仿宋_GB2312" w:eastAsia="仿宋_GB2312"/>
          <w:sz w:val="32"/>
          <w:szCs w:val="32"/>
        </w:rPr>
        <w:t>、城市科技部、农业农村科技部、文化科技与科普工作部(工业设计部)、科技服务业部、科技融媒体部、财务部、党群工作与人力资源部。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北京科技创新促进中心事业编制120人，实有人数115人；</w:t>
      </w:r>
      <w:r>
        <w:rPr>
          <w:rFonts w:hint="eastAsia" w:ascii="仿宋_GB2312" w:eastAsia="仿宋_GB2312"/>
          <w:sz w:val="32"/>
          <w:szCs w:val="32"/>
        </w:rPr>
        <w:t>离退休人员</w:t>
      </w:r>
      <w:r>
        <w:rPr>
          <w:rFonts w:hint="eastAsia" w:ascii="仿宋_GB2312" w:eastAsia="仿宋_GB2312"/>
          <w:color w:val="000000"/>
          <w:sz w:val="32"/>
          <w:szCs w:val="32"/>
        </w:rPr>
        <w:t>71</w:t>
      </w:r>
      <w:r>
        <w:rPr>
          <w:rFonts w:ascii="仿宋_GB2312" w:eastAsia="仿宋_GB2312"/>
          <w:sz w:val="32"/>
          <w:szCs w:val="32"/>
        </w:rPr>
        <w:t>人，其中：离休</w:t>
      </w:r>
      <w:r>
        <w:rPr>
          <w:rFonts w:hint="eastAsia" w:ascii="仿宋_GB2312" w:eastAsia="仿宋_GB2312"/>
          <w:sz w:val="32"/>
          <w:szCs w:val="32"/>
        </w:rPr>
        <w:t>人员</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rPr>
        <w:t>人员</w:t>
      </w:r>
      <w:r>
        <w:rPr>
          <w:rFonts w:hint="eastAsia" w:ascii="仿宋_GB2312" w:eastAsia="仿宋_GB2312"/>
          <w:color w:val="000000"/>
          <w:sz w:val="32"/>
          <w:szCs w:val="32"/>
        </w:rPr>
        <w:t>71</w:t>
      </w:r>
      <w:r>
        <w:rPr>
          <w:rFonts w:ascii="仿宋_GB2312" w:eastAsia="仿宋_GB2312"/>
          <w:sz w:val="32"/>
          <w:szCs w:val="32"/>
        </w:rPr>
        <w:t>人。</w:t>
      </w:r>
    </w:p>
    <w:p>
      <w:pPr>
        <w:spacing w:line="560" w:lineRule="exact"/>
        <w:ind w:firstLine="640" w:firstLineChars="200"/>
        <w:rPr>
          <w:rFonts w:ascii="仿宋_GB2312" w:eastAsia="仿宋_GB2312"/>
          <w:color w:val="FF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2023年度收入预算8</w:t>
      </w:r>
      <w:r>
        <w:rPr>
          <w:rFonts w:ascii="仿宋_GB2312" w:eastAsia="仿宋_GB2312"/>
          <w:sz w:val="32"/>
          <w:szCs w:val="32"/>
        </w:rPr>
        <w:t>,</w:t>
      </w:r>
      <w:r>
        <w:rPr>
          <w:rFonts w:hint="eastAsia" w:ascii="仿宋_GB2312" w:eastAsia="仿宋_GB2312"/>
          <w:sz w:val="32"/>
          <w:szCs w:val="32"/>
        </w:rPr>
        <w:t>290.47万元，比2022年年初预算数0.00万元增加8</w:t>
      </w:r>
      <w:r>
        <w:rPr>
          <w:rFonts w:ascii="仿宋_GB2312" w:eastAsia="仿宋_GB2312"/>
          <w:sz w:val="32"/>
          <w:szCs w:val="32"/>
        </w:rPr>
        <w:t>,</w:t>
      </w:r>
      <w:r>
        <w:rPr>
          <w:rFonts w:hint="eastAsia" w:ascii="仿宋_GB2312" w:eastAsia="仿宋_GB2312"/>
          <w:sz w:val="32"/>
          <w:szCs w:val="32"/>
        </w:rPr>
        <w:t>290.47万元，增长100%。主要原因是事业单位改革后，我单位新纳入</w:t>
      </w:r>
      <w:r>
        <w:rPr>
          <w:rFonts w:ascii="仿宋_GB2312" w:eastAsia="仿宋_GB2312"/>
          <w:sz w:val="32"/>
          <w:szCs w:val="32"/>
        </w:rPr>
        <w:t>2023年部门预算编报范围。</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（一）本年财政拨款收入8</w:t>
      </w:r>
      <w:r>
        <w:rPr>
          <w:rFonts w:ascii="楷体_GB2312" w:eastAsia="楷体_GB2312"/>
          <w:sz w:val="32"/>
          <w:szCs w:val="32"/>
        </w:rPr>
        <w:t>,</w:t>
      </w:r>
      <w:r>
        <w:rPr>
          <w:rFonts w:hint="eastAsia" w:ascii="楷体_GB2312" w:eastAsia="楷体_GB2312"/>
          <w:sz w:val="32"/>
          <w:szCs w:val="32"/>
        </w:rPr>
        <w:t>290.47万元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hint="eastAsia" w:ascii="楷体_GB2312" w:eastAsia="楷体_GB2312"/>
          <w:sz w:val="32"/>
          <w:szCs w:val="32"/>
        </w:rPr>
        <w:t>7</w:t>
      </w:r>
      <w:r>
        <w:rPr>
          <w:rFonts w:ascii="楷体_GB2312" w:eastAsia="楷体_GB2312"/>
          <w:sz w:val="32"/>
          <w:szCs w:val="32"/>
        </w:rPr>
        <w:t>,</w:t>
      </w:r>
      <w:r>
        <w:rPr>
          <w:rFonts w:hint="eastAsia" w:ascii="楷体_GB2312" w:eastAsia="楷体_GB2312"/>
          <w:sz w:val="32"/>
          <w:szCs w:val="32"/>
        </w:rPr>
        <w:t>750.02</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（三）上年结转结余540.44万元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10.上年结转结余540.44万元。</w:t>
      </w:r>
    </w:p>
    <w:p>
      <w:pPr>
        <w:pStyle w:val="2"/>
        <w:jc w:val="center"/>
        <w:rPr>
          <w:rFonts w:ascii="仿宋_GB2312" w:eastAsia="仿宋_GB2312"/>
          <w:b w:val="0"/>
          <w:bCs w:val="0"/>
          <w:sz w:val="32"/>
        </w:rPr>
      </w:pPr>
      <w:r>
        <w:rPr>
          <w:rFonts w:hint="eastAsia" w:ascii="仿宋_GB2312" w:eastAsia="仿宋_GB2312"/>
          <w:b w:val="0"/>
          <w:bCs w:val="0"/>
          <w:sz w:val="32"/>
        </w:rPr>
        <w:t>图1：收入预算</w:t>
      </w:r>
    </w:p>
    <w:p>
      <w:pPr>
        <w:jc w:val="center"/>
      </w:pPr>
      <w:r>
        <w:drawing>
          <wp:inline distT="0" distB="0" distL="114300" distR="114300">
            <wp:extent cx="4791710" cy="2613660"/>
            <wp:effectExtent l="4445" t="4445" r="13970" b="1079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ascii="仿宋_GB2312" w:eastAsia="仿宋_GB2312"/>
          <w:color w:val="FF0000"/>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2023年支出预算8</w:t>
      </w:r>
      <w:r>
        <w:rPr>
          <w:rFonts w:ascii="仿宋_GB2312" w:eastAsia="仿宋_GB2312"/>
          <w:sz w:val="32"/>
          <w:szCs w:val="32"/>
        </w:rPr>
        <w:t>,</w:t>
      </w:r>
      <w:r>
        <w:rPr>
          <w:rFonts w:hint="eastAsia" w:ascii="仿宋_GB2312" w:eastAsia="仿宋_GB2312"/>
          <w:sz w:val="32"/>
          <w:szCs w:val="32"/>
        </w:rPr>
        <w:t>290.47万元，比2022年年初预算数0.00万元增加8</w:t>
      </w:r>
      <w:r>
        <w:rPr>
          <w:rFonts w:ascii="仿宋_GB2312" w:eastAsia="仿宋_GB2312"/>
          <w:sz w:val="32"/>
          <w:szCs w:val="32"/>
        </w:rPr>
        <w:t>,</w:t>
      </w:r>
      <w:r>
        <w:rPr>
          <w:rFonts w:hint="eastAsia" w:ascii="仿宋_GB2312" w:eastAsia="仿宋_GB2312"/>
          <w:sz w:val="32"/>
          <w:szCs w:val="32"/>
        </w:rPr>
        <w:t>290.47万元，增长100%。主要原因是事业单位改革后，我单位新纳入</w:t>
      </w:r>
      <w:r>
        <w:rPr>
          <w:rFonts w:ascii="仿宋_GB2312" w:eastAsia="仿宋_GB2312"/>
          <w:sz w:val="32"/>
          <w:szCs w:val="32"/>
        </w:rPr>
        <w:t>2023年部门预算编报范围。</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基本支出预算5</w:t>
      </w:r>
      <w:r>
        <w:rPr>
          <w:rFonts w:ascii="仿宋_GB2312" w:eastAsia="仿宋_GB2312"/>
          <w:sz w:val="32"/>
          <w:szCs w:val="32"/>
        </w:rPr>
        <w:t>,</w:t>
      </w:r>
      <w:r>
        <w:rPr>
          <w:rFonts w:hint="eastAsia" w:ascii="仿宋_GB2312" w:eastAsia="仿宋_GB2312"/>
          <w:sz w:val="32"/>
          <w:szCs w:val="32"/>
        </w:rPr>
        <w:t>107.82万元，占总支出预算61.61%，比2022年年初预算数0.00万元增加5</w:t>
      </w:r>
      <w:r>
        <w:rPr>
          <w:rFonts w:ascii="仿宋_GB2312" w:eastAsia="仿宋_GB2312"/>
          <w:sz w:val="32"/>
          <w:szCs w:val="32"/>
        </w:rPr>
        <w:t>,</w:t>
      </w:r>
      <w:r>
        <w:rPr>
          <w:rFonts w:hint="eastAsia" w:ascii="仿宋_GB2312" w:eastAsia="仿宋_GB2312"/>
          <w:sz w:val="32"/>
          <w:szCs w:val="32"/>
        </w:rPr>
        <w:t>107.82万元，增长100%。</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项目支出预算3</w:t>
      </w:r>
      <w:r>
        <w:rPr>
          <w:rFonts w:ascii="仿宋_GB2312" w:eastAsia="仿宋_GB2312"/>
          <w:sz w:val="32"/>
          <w:szCs w:val="32"/>
        </w:rPr>
        <w:t>,</w:t>
      </w:r>
      <w:r>
        <w:rPr>
          <w:rFonts w:hint="eastAsia" w:ascii="仿宋_GB2312" w:eastAsia="仿宋_GB2312"/>
          <w:sz w:val="32"/>
          <w:szCs w:val="32"/>
        </w:rPr>
        <w:t>182.65万元，比2022年年初预算数0.00万元增加3</w:t>
      </w:r>
      <w:r>
        <w:rPr>
          <w:rFonts w:ascii="仿宋_GB2312" w:eastAsia="仿宋_GB2312"/>
          <w:sz w:val="32"/>
          <w:szCs w:val="32"/>
        </w:rPr>
        <w:t>,</w:t>
      </w:r>
      <w:r>
        <w:rPr>
          <w:rFonts w:hint="eastAsia" w:ascii="仿宋_GB2312" w:eastAsia="仿宋_GB2312"/>
          <w:sz w:val="32"/>
          <w:szCs w:val="32"/>
        </w:rPr>
        <w:t>182.65万元，增长100%。其中：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jc w:val="center"/>
        <w:rPr>
          <w:rFonts w:hint="eastAsia" w:ascii="仿宋_GB2312" w:eastAsia="仿宋_GB2312"/>
          <w:sz w:val="32"/>
        </w:rPr>
      </w:pPr>
    </w:p>
    <w:p>
      <w:pPr>
        <w:jc w:val="center"/>
        <w:rPr>
          <w:rFonts w:hint="eastAsia" w:ascii="仿宋_GB2312" w:eastAsia="仿宋_GB2312"/>
          <w:sz w:val="32"/>
        </w:rPr>
      </w:pPr>
    </w:p>
    <w:p>
      <w:pPr>
        <w:jc w:val="center"/>
        <w:rPr>
          <w:rFonts w:ascii="仿宋_GB2312" w:eastAsia="仿宋_GB2312"/>
          <w:sz w:val="32"/>
        </w:rPr>
      </w:pPr>
      <w:r>
        <w:rPr>
          <w:rFonts w:hint="eastAsia" w:ascii="仿宋_GB2312" w:eastAsia="仿宋_GB2312"/>
          <w:sz w:val="32"/>
        </w:rPr>
        <w:t>图2：基本支出和项目支出情况</w:t>
      </w:r>
    </w:p>
    <w:p>
      <w:pPr>
        <w:pStyle w:val="2"/>
        <w:jc w:val="center"/>
      </w:pPr>
      <w:r>
        <w:drawing>
          <wp:inline distT="0" distB="0" distL="114300" distR="114300">
            <wp:extent cx="4619625" cy="2743200"/>
            <wp:effectExtent l="6350" t="6350" r="12700" b="1270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北京科技创新促进中心因公出国（境）费用、公务接待费、公务用车购置和运行维护费开支单位包括1个所属单位。</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2023年财政拨款“三公”经费预算19.67万元，比2022年财政拨款“三公”经费预算增加19.67万元。其中：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1.因公出国（境）费用。2023年预算数0.00万元，与2022年年初预算数持平。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2.公务接待费。2023年预算数2.17万元，比2022年年初预算数0.00万元增加2.17万元，主要原因是事业单位改革后，我单位新纳入</w:t>
      </w:r>
      <w:r>
        <w:rPr>
          <w:rFonts w:ascii="仿宋_GB2312" w:eastAsia="仿宋_GB2312"/>
          <w:sz w:val="32"/>
          <w:szCs w:val="32"/>
        </w:rPr>
        <w:t>2023年部门预算编报范围</w:t>
      </w:r>
      <w:r>
        <w:rPr>
          <w:rFonts w:hint="eastAsia" w:ascii="仿宋_GB2312" w:eastAsia="仿宋_GB2312"/>
          <w:sz w:val="32"/>
          <w:szCs w:val="32"/>
        </w:rPr>
        <w:t>。</w:t>
      </w:r>
    </w:p>
    <w:p>
      <w:pPr>
        <w:spacing w:line="560" w:lineRule="exact"/>
        <w:ind w:firstLine="640" w:firstLineChars="200"/>
        <w:rPr>
          <w:rFonts w:ascii="楷体_GB2312" w:eastAsia="楷体_GB2312" w:cs="楷体_GB2312"/>
          <w:color w:val="FF0000"/>
          <w:sz w:val="32"/>
          <w:szCs w:val="32"/>
        </w:rPr>
      </w:pPr>
      <w:r>
        <w:rPr>
          <w:rFonts w:hint="eastAsia" w:ascii="仿宋_GB2312" w:eastAsia="仿宋_GB2312"/>
          <w:sz w:val="32"/>
          <w:szCs w:val="32"/>
        </w:rPr>
        <w:t>3.公务用车购置和运行维护费。2023年预算数17.50万元，其中，公务用车购置费2023年预算数0.00万元，与2022年年初预算数持平；公务用车运行维护费2023年预算数17.50万元，其中：公务用车燃油9.28万元，公务用车维修2.97万元，公务用车保险2.97万元，其他支出2.28万元。公务用车运行维护费2023年预算数比2022年年初预算数0</w:t>
      </w:r>
      <w:r>
        <w:rPr>
          <w:rFonts w:ascii="仿宋_GB2312" w:eastAsia="仿宋_GB2312"/>
          <w:sz w:val="32"/>
          <w:szCs w:val="32"/>
        </w:rPr>
        <w:t>.0</w:t>
      </w:r>
      <w:r>
        <w:rPr>
          <w:rFonts w:hint="eastAsia" w:ascii="仿宋_GB2312" w:eastAsia="仿宋_GB2312"/>
          <w:sz w:val="32"/>
          <w:szCs w:val="32"/>
        </w:rPr>
        <w:t>0万元增加17.50万元。主要原因是事业单位改革后，我单位新纳入</w:t>
      </w:r>
      <w:r>
        <w:rPr>
          <w:rFonts w:ascii="仿宋_GB2312" w:eastAsia="仿宋_GB2312"/>
          <w:sz w:val="32"/>
          <w:szCs w:val="32"/>
        </w:rPr>
        <w:t>2023年部门预算编报范围</w:t>
      </w:r>
      <w:r>
        <w:rPr>
          <w:rFonts w:hint="eastAsia" w:ascii="仿宋_GB2312" w:eastAsia="仿宋_GB2312"/>
          <w:sz w:val="32"/>
          <w:szCs w:val="32"/>
        </w:rPr>
        <w:t>。</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2023年北京科技创新促进中心政府采购预算总额1</w:t>
      </w:r>
      <w:r>
        <w:rPr>
          <w:rFonts w:ascii="仿宋_GB2312" w:eastAsia="仿宋_GB2312"/>
          <w:sz w:val="32"/>
          <w:szCs w:val="32"/>
        </w:rPr>
        <w:t>,</w:t>
      </w:r>
      <w:r>
        <w:rPr>
          <w:rFonts w:hint="eastAsia" w:ascii="仿宋_GB2312" w:eastAsia="仿宋_GB2312"/>
          <w:sz w:val="32"/>
          <w:szCs w:val="32"/>
        </w:rPr>
        <w:t>058.02万元，其中：政府采购货物预算17.08万元，政府采购工程预算0.00万元，政府采购服务预算1</w:t>
      </w:r>
      <w:r>
        <w:rPr>
          <w:rFonts w:ascii="仿宋_GB2312" w:eastAsia="仿宋_GB2312"/>
          <w:sz w:val="32"/>
          <w:szCs w:val="32"/>
        </w:rPr>
        <w:t>,</w:t>
      </w:r>
      <w:r>
        <w:rPr>
          <w:rFonts w:hint="eastAsia" w:ascii="仿宋_GB2312" w:eastAsia="仿宋_GB2312"/>
          <w:sz w:val="32"/>
          <w:szCs w:val="32"/>
        </w:rPr>
        <w:t>040.94万元。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本单位不属于政府购买服务购买主体</w:t>
      </w:r>
      <w:r>
        <w:rPr>
          <w:rFonts w:hint="eastAsia" w:ascii="仿宋_GB2312" w:hAnsi="宋体" w:eastAsia="仿宋_GB2312" w:cs="宋体"/>
          <w:kern w:val="0"/>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楷体_GB2312" w:eastAsia="楷体_GB2312"/>
          <w:sz w:val="32"/>
          <w:szCs w:val="32"/>
        </w:rPr>
      </w:pPr>
      <w:r>
        <w:rPr>
          <w:rFonts w:hint="eastAsia" w:ascii="仿宋_GB2312" w:eastAsia="仿宋_GB2312"/>
          <w:sz w:val="32"/>
          <w:szCs w:val="32"/>
        </w:rPr>
        <w:t>本</w:t>
      </w:r>
      <w:r>
        <w:rPr>
          <w:rFonts w:ascii="仿宋_GB2312" w:eastAsia="仿宋_GB2312"/>
          <w:sz w:val="32"/>
          <w:szCs w:val="32"/>
        </w:rPr>
        <w:t>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2023年，北京科技创新促进中心填报绩效目标的预算项目5个，占本单位本年预算项目5个的100%。填报绩效目标的项目支出预算2,642.21万元，占本单位本年项目支出预算的100%。</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年底，北京科技创新促进中心</w:t>
      </w:r>
      <w:r>
        <w:rPr>
          <w:rFonts w:hint="eastAsia" w:ascii="仿宋_GB2312" w:hAnsi="仿宋_GB2312" w:eastAsia="仿宋_GB2312" w:cs="仿宋_GB2312"/>
          <w:sz w:val="32"/>
          <w:szCs w:val="40"/>
        </w:rPr>
        <w:t>共有</w:t>
      </w:r>
      <w:r>
        <w:rPr>
          <w:rFonts w:hint="eastAsia" w:ascii="仿宋_GB2312" w:eastAsia="仿宋_GB2312"/>
          <w:sz w:val="32"/>
          <w:szCs w:val="32"/>
        </w:rPr>
        <w:t>车辆7台，共计</w:t>
      </w:r>
      <w:r>
        <w:rPr>
          <w:rFonts w:ascii="仿宋_GB2312" w:eastAsia="仿宋_GB2312"/>
          <w:sz w:val="32"/>
          <w:szCs w:val="32"/>
        </w:rPr>
        <w:t>185</w:t>
      </w:r>
      <w:r>
        <w:rPr>
          <w:rFonts w:hint="eastAsia" w:ascii="仿宋_GB2312" w:eastAsia="仿宋_GB2312"/>
          <w:sz w:val="32"/>
          <w:szCs w:val="32"/>
        </w:rPr>
        <w:t>.</w:t>
      </w:r>
      <w:r>
        <w:rPr>
          <w:rFonts w:ascii="仿宋_GB2312" w:eastAsia="仿宋_GB2312"/>
          <w:sz w:val="32"/>
          <w:szCs w:val="32"/>
        </w:rPr>
        <w:t>13</w:t>
      </w:r>
      <w:r>
        <w:rPr>
          <w:rFonts w:hint="eastAsia" w:ascii="仿宋_GB2312" w:eastAsia="仿宋_GB2312"/>
          <w:sz w:val="32"/>
          <w:szCs w:val="32"/>
        </w:rPr>
        <w:t>万元；单位价值50万元</w:t>
      </w:r>
      <w:r>
        <w:rPr>
          <w:rFonts w:hint="eastAsia" w:ascii="仿宋_GB2312" w:eastAsia="仿宋_GB2312"/>
          <w:color w:val="000000"/>
          <w:sz w:val="32"/>
          <w:szCs w:val="32"/>
        </w:rPr>
        <w:t>以上的通用设备0台（套），共计0.00万元，单位价值100万元以上的专用设备0台（套）、共计0.00万元。</w:t>
      </w:r>
    </w:p>
    <w:p>
      <w:pPr>
        <w:numPr>
          <w:ilvl w:val="0"/>
          <w:numId w:val="2"/>
        </w:numPr>
        <w:spacing w:line="560" w:lineRule="exact"/>
        <w:ind w:firstLine="640" w:firstLineChars="200"/>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pStyle w:val="2"/>
        <w:rPr>
          <w:rFonts w:ascii="仿宋_GB2312" w:eastAsia="仿宋_GB2312"/>
          <w:color w:val="000000"/>
          <w:sz w:val="32"/>
        </w:rPr>
      </w:pP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附件：北京科技创新促进中心2023年度单位预算报表</w:t>
      </w:r>
      <w:r>
        <w:rPr>
          <w:rFonts w:hint="eastAsia" w:ascii="仿宋_GB2312" w:eastAsia="仿宋_GB2312" w:cs="宋体"/>
          <w:color w:val="000000"/>
          <w:kern w:val="0"/>
          <w:sz w:val="32"/>
          <w:szCs w:val="32"/>
          <w:lang w:val="zh-CN"/>
        </w:rPr>
        <w:t xml:space="preserve"> </w:t>
      </w:r>
      <w:bookmarkStart w:id="0" w:name="_GoBack"/>
      <w:bookmarkEnd w:id="0"/>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1">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xZTlhZWY5YzcxZDcyMjNlNTA2YTA3MGU5NWIyMDYifQ=="/>
  </w:docVars>
  <w:rsids>
    <w:rsidRoot w:val="00DA3E64"/>
    <w:rsid w:val="00041FDB"/>
    <w:rsid w:val="00081FF2"/>
    <w:rsid w:val="000C48E9"/>
    <w:rsid w:val="000E307A"/>
    <w:rsid w:val="00124FF6"/>
    <w:rsid w:val="00145E1E"/>
    <w:rsid w:val="00152FB2"/>
    <w:rsid w:val="001F075F"/>
    <w:rsid w:val="00297355"/>
    <w:rsid w:val="00384A42"/>
    <w:rsid w:val="004062C2"/>
    <w:rsid w:val="004230FC"/>
    <w:rsid w:val="00486754"/>
    <w:rsid w:val="004E17E3"/>
    <w:rsid w:val="00521FE0"/>
    <w:rsid w:val="00536667"/>
    <w:rsid w:val="00601F54"/>
    <w:rsid w:val="00643C04"/>
    <w:rsid w:val="006B5F4B"/>
    <w:rsid w:val="006C1BC8"/>
    <w:rsid w:val="006E108B"/>
    <w:rsid w:val="00785744"/>
    <w:rsid w:val="00785E01"/>
    <w:rsid w:val="008055DF"/>
    <w:rsid w:val="008C485C"/>
    <w:rsid w:val="008D7FAA"/>
    <w:rsid w:val="009A1D5F"/>
    <w:rsid w:val="009A52FE"/>
    <w:rsid w:val="009C3301"/>
    <w:rsid w:val="009D6C86"/>
    <w:rsid w:val="00A83CA3"/>
    <w:rsid w:val="00AA0B9A"/>
    <w:rsid w:val="00B935A6"/>
    <w:rsid w:val="00BD1479"/>
    <w:rsid w:val="00BF4454"/>
    <w:rsid w:val="00C260E5"/>
    <w:rsid w:val="00C30D0F"/>
    <w:rsid w:val="00D13D7B"/>
    <w:rsid w:val="00D143DE"/>
    <w:rsid w:val="00D65508"/>
    <w:rsid w:val="00DA08D6"/>
    <w:rsid w:val="00DA3E64"/>
    <w:rsid w:val="00EB1A5E"/>
    <w:rsid w:val="00EE3186"/>
    <w:rsid w:val="00EE636E"/>
    <w:rsid w:val="00F528D5"/>
    <w:rsid w:val="00FD67CD"/>
    <w:rsid w:val="017A19A1"/>
    <w:rsid w:val="017C2CB3"/>
    <w:rsid w:val="01A00569"/>
    <w:rsid w:val="03916F6C"/>
    <w:rsid w:val="042A5AF7"/>
    <w:rsid w:val="04447FB3"/>
    <w:rsid w:val="05AA5477"/>
    <w:rsid w:val="06EA15F1"/>
    <w:rsid w:val="07CD02C0"/>
    <w:rsid w:val="0B19782D"/>
    <w:rsid w:val="0C2C5114"/>
    <w:rsid w:val="0C7849F9"/>
    <w:rsid w:val="0D3A63F7"/>
    <w:rsid w:val="0E146C48"/>
    <w:rsid w:val="0E6010CF"/>
    <w:rsid w:val="0FE3246F"/>
    <w:rsid w:val="10F36FE9"/>
    <w:rsid w:val="14144B0C"/>
    <w:rsid w:val="16EB30C7"/>
    <w:rsid w:val="16F40579"/>
    <w:rsid w:val="16F629B9"/>
    <w:rsid w:val="17122D53"/>
    <w:rsid w:val="1731136C"/>
    <w:rsid w:val="19AF6DCC"/>
    <w:rsid w:val="1B375D24"/>
    <w:rsid w:val="1B8970FB"/>
    <w:rsid w:val="1BC25DF0"/>
    <w:rsid w:val="1E6C3F37"/>
    <w:rsid w:val="1EE52218"/>
    <w:rsid w:val="1F6E507C"/>
    <w:rsid w:val="2074045F"/>
    <w:rsid w:val="218872DA"/>
    <w:rsid w:val="224224BC"/>
    <w:rsid w:val="234D2B0B"/>
    <w:rsid w:val="27332718"/>
    <w:rsid w:val="27BE17EE"/>
    <w:rsid w:val="28DF395A"/>
    <w:rsid w:val="2907142C"/>
    <w:rsid w:val="29A97D58"/>
    <w:rsid w:val="2A252715"/>
    <w:rsid w:val="2A3654DB"/>
    <w:rsid w:val="2A4C2E6E"/>
    <w:rsid w:val="2B024961"/>
    <w:rsid w:val="2BD27A1E"/>
    <w:rsid w:val="2FD86E9B"/>
    <w:rsid w:val="307153DD"/>
    <w:rsid w:val="31091AB9"/>
    <w:rsid w:val="31401FA3"/>
    <w:rsid w:val="36154711"/>
    <w:rsid w:val="36CA5C2C"/>
    <w:rsid w:val="37582A72"/>
    <w:rsid w:val="3AF818B3"/>
    <w:rsid w:val="3B750EE5"/>
    <w:rsid w:val="3C587DD4"/>
    <w:rsid w:val="42FB6058"/>
    <w:rsid w:val="43364990"/>
    <w:rsid w:val="47884076"/>
    <w:rsid w:val="478D08F6"/>
    <w:rsid w:val="479E48B1"/>
    <w:rsid w:val="49077CB8"/>
    <w:rsid w:val="498D4675"/>
    <w:rsid w:val="4C740363"/>
    <w:rsid w:val="4DA66A4D"/>
    <w:rsid w:val="4E367CEF"/>
    <w:rsid w:val="4EE01C53"/>
    <w:rsid w:val="4F24642B"/>
    <w:rsid w:val="4F383E2F"/>
    <w:rsid w:val="50FB7F6E"/>
    <w:rsid w:val="5209265C"/>
    <w:rsid w:val="55926977"/>
    <w:rsid w:val="55AF05D2"/>
    <w:rsid w:val="57436E8D"/>
    <w:rsid w:val="57BD5228"/>
    <w:rsid w:val="583D1DD1"/>
    <w:rsid w:val="58971F5B"/>
    <w:rsid w:val="59B92E21"/>
    <w:rsid w:val="5A162CF0"/>
    <w:rsid w:val="5A752689"/>
    <w:rsid w:val="5BE81245"/>
    <w:rsid w:val="5E03083C"/>
    <w:rsid w:val="5E224753"/>
    <w:rsid w:val="5F07071D"/>
    <w:rsid w:val="60E66B0E"/>
    <w:rsid w:val="61611A47"/>
    <w:rsid w:val="61EA10F7"/>
    <w:rsid w:val="62422353"/>
    <w:rsid w:val="637235DB"/>
    <w:rsid w:val="63BC79DF"/>
    <w:rsid w:val="644C132A"/>
    <w:rsid w:val="65406257"/>
    <w:rsid w:val="66AF572C"/>
    <w:rsid w:val="66DE2AC5"/>
    <w:rsid w:val="67546BF3"/>
    <w:rsid w:val="676C3616"/>
    <w:rsid w:val="68B90674"/>
    <w:rsid w:val="69004F74"/>
    <w:rsid w:val="6B2C5CC5"/>
    <w:rsid w:val="6CA87B97"/>
    <w:rsid w:val="6DC7479F"/>
    <w:rsid w:val="6F50511D"/>
    <w:rsid w:val="7007308C"/>
    <w:rsid w:val="708273DD"/>
    <w:rsid w:val="70875F7B"/>
    <w:rsid w:val="70EF1F9B"/>
    <w:rsid w:val="718B3E8F"/>
    <w:rsid w:val="71B657CF"/>
    <w:rsid w:val="727C5B8D"/>
    <w:rsid w:val="72D93BA9"/>
    <w:rsid w:val="72FB2E21"/>
    <w:rsid w:val="75112A0C"/>
    <w:rsid w:val="78A74CC3"/>
    <w:rsid w:val="7D0B0AC6"/>
    <w:rsid w:val="7DE1316F"/>
    <w:rsid w:val="7E0155BF"/>
    <w:rsid w:val="7E183749"/>
    <w:rsid w:val="7F292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3"/>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9"/>
    <w:semiHidden/>
    <w:unhideWhenUsed/>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标题 2 Char"/>
    <w:basedOn w:val="9"/>
    <w:link w:val="2"/>
    <w:qFormat/>
    <w:uiPriority w:val="0"/>
    <w:rPr>
      <w:rFonts w:ascii="Cambria" w:hAnsi="Cambria" w:eastAsia="黑体" w:cs="Times New Roman"/>
      <w:b/>
      <w:bCs/>
      <w:kern w:val="0"/>
      <w:sz w:val="36"/>
      <w:szCs w:val="32"/>
    </w:rPr>
  </w:style>
  <w:style w:type="paragraph" w:customStyle="1" w:styleId="14">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5">
    <w:name w:val="批注文字 Char"/>
    <w:basedOn w:val="9"/>
    <w:link w:val="3"/>
    <w:qFormat/>
    <w:uiPriority w:val="99"/>
    <w:rPr>
      <w:rFonts w:ascii="Times New Roman" w:hAnsi="Times New Roman" w:eastAsia="宋体" w:cs="Droid Sans"/>
      <w:szCs w:val="24"/>
    </w:rPr>
  </w:style>
  <w:style w:type="character" w:customStyle="1" w:styleId="16">
    <w:name w:val="批注主题 Char"/>
    <w:basedOn w:val="15"/>
    <w:link w:val="7"/>
    <w:semiHidden/>
    <w:qFormat/>
    <w:uiPriority w:val="99"/>
    <w:rPr>
      <w:rFonts w:ascii="Times New Roman" w:hAnsi="Times New Roman" w:eastAsia="宋体" w:cs="Droid Sans"/>
      <w:b/>
      <w:bCs/>
      <w:szCs w:val="24"/>
    </w:rPr>
  </w:style>
  <w:style w:type="paragraph" w:customStyle="1" w:styleId="17">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8">
    <w:name w:val="cf01"/>
    <w:basedOn w:val="9"/>
    <w:qFormat/>
    <w:uiPriority w:val="0"/>
    <w:rPr>
      <w:rFonts w:hint="eastAsia" w:ascii="Microsoft YaHei UI" w:hAnsi="Microsoft YaHei UI" w:eastAsia="Microsoft YaHei UI"/>
      <w:sz w:val="18"/>
      <w:szCs w:val="18"/>
    </w:rPr>
  </w:style>
  <w:style w:type="character" w:customStyle="1" w:styleId="19">
    <w:name w:val="批注框文本 Char"/>
    <w:basedOn w:val="9"/>
    <w:link w:val="4"/>
    <w:semiHidden/>
    <w:qFormat/>
    <w:uiPriority w:val="99"/>
    <w:rPr>
      <w:rFonts w:ascii="Times New Roman" w:hAnsi="Times New Roman" w:eastAsia="宋体" w:cs="Droid Sans"/>
      <w:kern w:val="2"/>
      <w:sz w:val="18"/>
      <w:szCs w:val="18"/>
    </w:rPr>
  </w:style>
  <w:style w:type="paragraph" w:customStyle="1" w:styleId="20">
    <w:name w:val="修订2"/>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D:\&#24066;&#31185;&#22996;&#30456;&#20851;&#24037;&#20316;\&#37096;&#38376;&#39044;&#31639;&#24037;&#20316;\2023&#24180;\14-&#39044;&#31639;&#20844;&#24320;\3-&#20844;&#24320;&#25991;&#20214;&#20013;&#30456;&#20851;&#25968;&#25454;&#25903;&#25745;&#26448;&#26009;\&#24213;&#3129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4066;&#31185;&#22996;&#30456;&#20851;&#24037;&#20316;\&#37096;&#38376;&#39044;&#31639;&#24037;&#20316;\2023&#24180;\14-&#39044;&#31639;&#20844;&#24320;\3-&#20844;&#24320;&#25991;&#20214;&#20013;&#30456;&#20851;&#25968;&#25454;&#25903;&#25745;&#26448;&#26009;\&#24213;&#3129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endParaRPr lang="zh-CN" altLang="en-US" sz="1400" b="0" i="0" u="none" strike="noStrike" baseline="0">
              <a:solidFill>
                <a:srgbClr val="595959">
                  <a:alpha val="100000"/>
                </a:srgbClr>
              </a:solidFill>
              <a:latin typeface="宋体" panose="02010600030101010101" charset="-122"/>
              <a:ea typeface="宋体" panose="02010600030101010101" charset="-122"/>
              <a:cs typeface="宋体" panose="02010600030101010101" charset="-122"/>
            </a:endParaRPr>
          </a:p>
        </c:rich>
      </c:tx>
      <c:layout>
        <c:manualLayout>
          <c:xMode val="edge"/>
          <c:yMode val="edge"/>
          <c:x val="0.431938302232769"/>
          <c:y val="0.0194242108914325"/>
        </c:manualLayout>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[底稿.xls]促进中心!$B$2:$B$3</c:f>
              <c:strCache>
                <c:ptCount val="2"/>
                <c:pt idx="0">
                  <c:v>一般公共预算拨款收入</c:v>
                </c:pt>
                <c:pt idx="1">
                  <c:v>上年结转结余</c:v>
                </c:pt>
              </c:strCache>
            </c:strRef>
          </c:cat>
          <c:val>
            <c:numRef>
              <c:f>[底稿.xls]促进中心!$C$2:$C$3</c:f>
              <c:numCache>
                <c:formatCode>#,##0.00</c:formatCode>
                <c:ptCount val="2"/>
                <c:pt idx="0">
                  <c:v>7750.021387</c:v>
                </c:pt>
                <c:pt idx="1" c:formatCode="General">
                  <c:v>540.4438</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98780811025709"/>
          <c:y val="0.139698736637512"/>
          <c:w val="0.285979326795653"/>
          <c:h val="0.53862973760932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no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6476975945017"/>
          <c:y val="0.12074537037037"/>
          <c:w val="0.414537457044674"/>
          <c:h val="0.698092592592593"/>
        </c:manualLayout>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[底稿.xls]促进中心!$B$17:$B$18</c:f>
              <c:strCache>
                <c:ptCount val="2"/>
                <c:pt idx="0">
                  <c:v>基本支出</c:v>
                </c:pt>
                <c:pt idx="1">
                  <c:v>项目支出</c:v>
                </c:pt>
              </c:strCache>
            </c:strRef>
          </c:cat>
          <c:val>
            <c:numRef>
              <c:f>[底稿.xls]促进中心!$C$17:$C$18</c:f>
              <c:numCache>
                <c:formatCode>#,##0.00</c:formatCode>
                <c:ptCount val="2"/>
                <c:pt idx="0">
                  <c:v>5107.815407</c:v>
                </c:pt>
                <c:pt idx="1">
                  <c:v>3182.64978</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763711340206186"/>
          <c:y val="0.180787037037037"/>
          <c:w val="0.199862542955326"/>
          <c:h val="0.35833333333333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noFill/>
    <a:ln w="12700" cap="flat" cmpd="sng" algn="ctr">
      <a:solidFill>
        <a:schemeClr val="bg1">
          <a:lumMod val="85000"/>
        </a:schemeClr>
      </a:solidFill>
      <a:prstDash val="solid"/>
      <a:round/>
    </a:ln>
  </c:spPr>
  <c:txPr>
    <a:bodyPr wrap="square"/>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526ACB-EEE0-4CF0-ACCF-8E10DE27190C}">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477</Words>
  <Characters>2725</Characters>
  <Lines>22</Lines>
  <Paragraphs>6</Paragraphs>
  <TotalTime>83</TotalTime>
  <ScaleCrop>false</ScaleCrop>
  <LinksUpToDate>false</LinksUpToDate>
  <CharactersWithSpaces>3196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2023-02-20T08:16:00Z</dcterms:created>
  <dc:creator>马 亚文</dc:creator>
  <cp:lastModifiedBy>leo-yao</cp:lastModifiedBy>
  <dcterms:modified xsi:type="dcterms:W3CDTF">2023-02-23T01:36:04Z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38539BC381E346DC91E766A7C325308E</vt:lpwstr>
  </property>
</Properties>
</file>