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w:t>
      </w:r>
      <w:r>
        <w:rPr>
          <w:rFonts w:ascii="方正小标宋简体" w:eastAsia="方正小标宋简体"/>
          <w:color w:val="000000"/>
          <w:sz w:val="36"/>
          <w:szCs w:val="36"/>
        </w:rPr>
        <w:t>实验动物管理办公室（北京市人类遗传资源管理办公室）</w:t>
      </w:r>
      <w:r>
        <w:rPr>
          <w:rFonts w:hint="eastAsia" w:ascii="方正小标宋简体" w:eastAsia="方正小标宋简体"/>
          <w:color w:val="000000"/>
          <w:sz w:val="36"/>
          <w:szCs w:val="36"/>
        </w:rPr>
        <w:t>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hint="eastAsia"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十三、项目支出绩效目标表</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北京市实验动物管理办公室（北京市人类遗传资源管理办公室）为公益一类事业单位，</w:t>
      </w:r>
      <w:r>
        <w:rPr>
          <w:rFonts w:ascii="仿宋_GB2312" w:eastAsia="仿宋_GB2312"/>
          <w:sz w:val="32"/>
          <w:szCs w:val="32"/>
        </w:rPr>
        <w:t>参照《公务员法》管理，</w:t>
      </w:r>
      <w:r>
        <w:rPr>
          <w:rFonts w:hint="eastAsia" w:ascii="仿宋_GB2312" w:eastAsia="仿宋_GB2312"/>
          <w:sz w:val="32"/>
          <w:szCs w:val="32"/>
        </w:rPr>
        <w:t>机构规格正</w:t>
      </w:r>
      <w:r>
        <w:rPr>
          <w:rFonts w:ascii="仿宋_GB2312" w:eastAsia="仿宋_GB2312"/>
          <w:sz w:val="32"/>
          <w:szCs w:val="32"/>
        </w:rPr>
        <w:t>处级</w:t>
      </w:r>
      <w:r>
        <w:rPr>
          <w:rFonts w:hint="eastAsia" w:ascii="仿宋_GB2312" w:eastAsia="仿宋_GB2312"/>
          <w:sz w:val="32"/>
          <w:szCs w:val="32"/>
        </w:rPr>
        <w:t>，经费形式</w:t>
      </w:r>
      <w:r>
        <w:rPr>
          <w:rFonts w:ascii="仿宋_GB2312" w:eastAsia="仿宋_GB2312"/>
          <w:sz w:val="32"/>
          <w:szCs w:val="32"/>
        </w:rPr>
        <w:t>财政补助</w:t>
      </w:r>
      <w:r>
        <w:rPr>
          <w:rFonts w:hint="eastAsia" w:ascii="仿宋_GB2312" w:eastAsia="仿宋_GB2312"/>
          <w:sz w:val="32"/>
          <w:szCs w:val="32"/>
        </w:rPr>
        <w:t>。主要职责：</w:t>
      </w:r>
      <w:r>
        <w:rPr>
          <w:rFonts w:ascii="仿宋_GB2312" w:eastAsia="仿宋_GB2312"/>
          <w:sz w:val="32"/>
          <w:szCs w:val="32"/>
        </w:rPr>
        <w:t>承担</w:t>
      </w:r>
      <w:r>
        <w:rPr>
          <w:rFonts w:hint="eastAsia" w:ascii="仿宋_GB2312" w:eastAsia="仿宋_GB2312"/>
          <w:color w:val="000000"/>
          <w:sz w:val="32"/>
          <w:szCs w:val="32"/>
        </w:rPr>
        <w:t>人</w:t>
      </w:r>
      <w:r>
        <w:rPr>
          <w:rFonts w:ascii="仿宋_GB2312" w:eastAsia="仿宋_GB2312"/>
          <w:color w:val="000000"/>
          <w:sz w:val="32"/>
          <w:szCs w:val="32"/>
        </w:rPr>
        <w:t>类遗传</w:t>
      </w:r>
      <w:r>
        <w:rPr>
          <w:rFonts w:hint="eastAsia" w:ascii="仿宋_GB2312" w:eastAsia="仿宋_GB2312"/>
          <w:color w:val="000000"/>
          <w:sz w:val="32"/>
          <w:szCs w:val="32"/>
        </w:rPr>
        <w:t>资源、实验动物日常管理与监督</w:t>
      </w:r>
      <w:r>
        <w:rPr>
          <w:rFonts w:ascii="仿宋_GB2312" w:eastAsia="仿宋_GB2312"/>
          <w:color w:val="000000"/>
          <w:sz w:val="32"/>
          <w:szCs w:val="32"/>
        </w:rPr>
        <w:t>工作</w:t>
      </w:r>
      <w:r>
        <w:rPr>
          <w:rFonts w:hint="eastAsia" w:ascii="仿宋_GB2312" w:eastAsia="仿宋_GB2312"/>
          <w:color w:val="000000"/>
          <w:sz w:val="32"/>
          <w:szCs w:val="32"/>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北京市实验动物管理办公室（北京市人类遗传资源管理办公室）</w:t>
      </w:r>
      <w:r>
        <w:rPr>
          <w:rFonts w:hint="eastAsia" w:ascii="仿宋_GB2312" w:hAnsi="仿宋" w:eastAsia="仿宋_GB2312"/>
          <w:sz w:val="32"/>
          <w:szCs w:val="32"/>
        </w:rPr>
        <w:t>下设4</w:t>
      </w:r>
      <w:r>
        <w:rPr>
          <w:rFonts w:ascii="仿宋_GB2312" w:hAnsi="仿宋" w:eastAsia="仿宋_GB2312"/>
          <w:sz w:val="32"/>
          <w:szCs w:val="32"/>
        </w:rPr>
        <w:t>个</w:t>
      </w:r>
      <w:r>
        <w:rPr>
          <w:rFonts w:hint="eastAsia" w:ascii="仿宋_GB2312" w:hAnsi="仿宋" w:eastAsia="仿宋_GB2312"/>
          <w:sz w:val="32"/>
          <w:szCs w:val="32"/>
        </w:rPr>
        <w:t>部门，</w:t>
      </w:r>
      <w:r>
        <w:rPr>
          <w:rFonts w:ascii="仿宋_GB2312" w:hAnsi="仿宋" w:eastAsia="仿宋_GB2312"/>
          <w:sz w:val="32"/>
          <w:szCs w:val="32"/>
        </w:rPr>
        <w:t>分别是</w:t>
      </w:r>
      <w:r>
        <w:rPr>
          <w:rFonts w:ascii="仿宋_GB2312" w:eastAsia="仿宋_GB2312"/>
          <w:color w:val="000000"/>
          <w:sz w:val="32"/>
          <w:szCs w:val="32"/>
        </w:rPr>
        <w:t>综合管理科</w:t>
      </w:r>
      <w:r>
        <w:rPr>
          <w:rFonts w:hint="eastAsia" w:ascii="仿宋_GB2312" w:eastAsia="仿宋_GB2312"/>
          <w:color w:val="000000"/>
          <w:sz w:val="32"/>
          <w:szCs w:val="32"/>
        </w:rPr>
        <w:t>、监督</w:t>
      </w:r>
      <w:r>
        <w:rPr>
          <w:rFonts w:ascii="仿宋_GB2312" w:eastAsia="仿宋_GB2312"/>
          <w:color w:val="000000"/>
          <w:sz w:val="32"/>
          <w:szCs w:val="32"/>
        </w:rPr>
        <w:t>管理</w:t>
      </w:r>
      <w:r>
        <w:rPr>
          <w:rFonts w:hint="eastAsia" w:ascii="仿宋_GB2312" w:eastAsia="仿宋_GB2312"/>
          <w:color w:val="000000"/>
          <w:sz w:val="32"/>
          <w:szCs w:val="32"/>
        </w:rPr>
        <w:t>一</w:t>
      </w:r>
      <w:r>
        <w:rPr>
          <w:rFonts w:ascii="仿宋_GB2312" w:eastAsia="仿宋_GB2312"/>
          <w:color w:val="000000"/>
          <w:sz w:val="32"/>
          <w:szCs w:val="32"/>
        </w:rPr>
        <w:t>科、</w:t>
      </w:r>
      <w:r>
        <w:rPr>
          <w:rFonts w:hint="eastAsia" w:ascii="仿宋_GB2312" w:eastAsia="仿宋_GB2312"/>
          <w:color w:val="000000"/>
          <w:sz w:val="32"/>
          <w:szCs w:val="32"/>
        </w:rPr>
        <w:t>监督</w:t>
      </w:r>
      <w:r>
        <w:rPr>
          <w:rFonts w:ascii="仿宋_GB2312" w:eastAsia="仿宋_GB2312"/>
          <w:color w:val="000000"/>
          <w:sz w:val="32"/>
          <w:szCs w:val="32"/>
        </w:rPr>
        <w:t>管理二</w:t>
      </w:r>
      <w:r>
        <w:rPr>
          <w:rFonts w:hint="eastAsia" w:ascii="仿宋_GB2312" w:eastAsia="仿宋_GB2312"/>
          <w:color w:val="000000"/>
          <w:sz w:val="32"/>
          <w:szCs w:val="32"/>
        </w:rPr>
        <w:t>科、法制宣传科</w:t>
      </w:r>
      <w:r>
        <w:rPr>
          <w:rFonts w:ascii="仿宋_GB2312" w:eastAsia="仿宋_GB2312"/>
          <w:color w:val="000000"/>
          <w:sz w:val="32"/>
          <w:szCs w:val="32"/>
        </w:rPr>
        <w:t>。</w:t>
      </w:r>
    </w:p>
    <w:p>
      <w:pPr>
        <w:snapToGrid w:val="0"/>
        <w:spacing w:line="52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北京市实验动物管理办公室（北京市人类遗传资源管理办公室）</w:t>
      </w:r>
      <w:r>
        <w:rPr>
          <w:rFonts w:hint="eastAsia" w:ascii="仿宋_GB2312" w:eastAsia="仿宋_GB2312"/>
          <w:color w:val="000000"/>
          <w:sz w:val="32"/>
          <w:szCs w:val="32"/>
        </w:rPr>
        <w:t>事业编制</w:t>
      </w:r>
      <w:r>
        <w:rPr>
          <w:rFonts w:ascii="仿宋_GB2312" w:eastAsia="仿宋_GB2312"/>
          <w:color w:val="000000"/>
          <w:sz w:val="32"/>
          <w:szCs w:val="32"/>
        </w:rPr>
        <w:t>26</w:t>
      </w:r>
      <w:r>
        <w:rPr>
          <w:rFonts w:hint="eastAsia" w:ascii="仿宋_GB2312" w:eastAsia="仿宋_GB2312"/>
          <w:color w:val="000000"/>
          <w:sz w:val="32"/>
          <w:szCs w:val="32"/>
        </w:rPr>
        <w:t>人，实有人数</w:t>
      </w:r>
      <w:r>
        <w:rPr>
          <w:rFonts w:ascii="仿宋_GB2312" w:eastAsia="仿宋_GB2312"/>
          <w:color w:val="000000"/>
          <w:sz w:val="32"/>
          <w:szCs w:val="32"/>
        </w:rPr>
        <w:t>20</w:t>
      </w:r>
      <w:r>
        <w:rPr>
          <w:rFonts w:hint="eastAsia" w:ascii="仿宋_GB2312" w:eastAsia="仿宋_GB2312"/>
          <w:color w:val="000000"/>
          <w:sz w:val="32"/>
          <w:szCs w:val="32"/>
        </w:rPr>
        <w:t>人；</w:t>
      </w:r>
      <w:r>
        <w:rPr>
          <w:rFonts w:hint="eastAsia" w:ascii="仿宋_GB2312" w:eastAsia="仿宋_GB2312"/>
          <w:sz w:val="32"/>
          <w:szCs w:val="32"/>
        </w:rPr>
        <w:t>离退休人员</w:t>
      </w:r>
      <w:r>
        <w:rPr>
          <w:rFonts w:ascii="仿宋_GB2312" w:eastAsia="仿宋_GB2312"/>
          <w:color w:val="000000"/>
          <w:sz w:val="32"/>
          <w:szCs w:val="32"/>
        </w:rPr>
        <w:t>2</w:t>
      </w:r>
      <w:r>
        <w:rPr>
          <w:rFonts w:ascii="仿宋_GB2312" w:eastAsia="仿宋_GB2312"/>
          <w:sz w:val="32"/>
          <w:szCs w:val="32"/>
        </w:rPr>
        <w:t>人，</w:t>
      </w:r>
      <w:bookmarkStart w:id="1" w:name="_GoBack"/>
      <w:bookmarkEnd w:id="1"/>
      <w:r>
        <w:rPr>
          <w:rFonts w:ascii="仿宋_GB2312" w:eastAsia="仿宋_GB2312"/>
          <w:sz w:val="32"/>
          <w:szCs w:val="32"/>
        </w:rPr>
        <w:t>其中：离休</w:t>
      </w:r>
      <w:r>
        <w:rPr>
          <w:rFonts w:hint="eastAsia" w:ascii="仿宋_GB2312" w:eastAsia="仿宋_GB2312"/>
          <w:sz w:val="32"/>
          <w:szCs w:val="32"/>
        </w:rPr>
        <w:t>人员</w:t>
      </w:r>
      <w:r>
        <w:rPr>
          <w:rFonts w:ascii="仿宋_GB2312" w:eastAsia="仿宋_GB2312"/>
          <w:color w:val="000000"/>
          <w:sz w:val="32"/>
          <w:szCs w:val="32"/>
        </w:rPr>
        <w:t>0</w:t>
      </w:r>
      <w:r>
        <w:rPr>
          <w:rFonts w:ascii="仿宋_GB2312" w:eastAsia="仿宋_GB2312"/>
          <w:sz w:val="32"/>
          <w:szCs w:val="32"/>
        </w:rPr>
        <w:t>人，退休</w:t>
      </w:r>
      <w:r>
        <w:rPr>
          <w:rFonts w:hint="eastAsia" w:ascii="仿宋_GB2312" w:eastAsia="仿宋_GB2312"/>
          <w:sz w:val="32"/>
          <w:szCs w:val="32"/>
        </w:rPr>
        <w:t>人员</w:t>
      </w:r>
      <w:r>
        <w:rPr>
          <w:rFonts w:ascii="仿宋_GB2312" w:eastAsia="仿宋_GB2312"/>
          <w:color w:val="000000"/>
          <w:sz w:val="32"/>
          <w:szCs w:val="32"/>
        </w:rPr>
        <w:t>2</w:t>
      </w:r>
      <w:r>
        <w:rPr>
          <w:rFonts w:ascii="仿宋_GB2312" w:eastAsia="仿宋_GB2312"/>
          <w:sz w:val="32"/>
          <w:szCs w:val="32"/>
        </w:rPr>
        <w:t>人。</w:t>
      </w:r>
    </w:p>
    <w:p>
      <w:pPr>
        <w:spacing w:line="560" w:lineRule="exact"/>
        <w:ind w:firstLine="640" w:firstLineChars="200"/>
        <w:rPr>
          <w:rFonts w:ascii="仿宋_GB2312" w:eastAsia="仿宋_GB2312"/>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hAnsi="仿宋_GB2312" w:eastAsia="仿宋_GB2312" w:cs="仿宋_GB2312"/>
          <w:sz w:val="32"/>
        </w:rPr>
      </w:pPr>
      <w:r>
        <w:rPr>
          <w:rFonts w:hint="eastAsia" w:ascii="仿宋_GB2312" w:eastAsia="仿宋_GB2312"/>
          <w:sz w:val="32"/>
          <w:szCs w:val="32"/>
        </w:rPr>
        <w:t>2023年度收入预算2,136.56万元，比2022年年初预算数</w:t>
      </w:r>
      <w:r>
        <w:rPr>
          <w:rFonts w:ascii="仿宋_GB2312" w:eastAsia="仿宋_GB2312"/>
          <w:color w:val="000000"/>
          <w:sz w:val="32"/>
          <w:szCs w:val="32"/>
        </w:rPr>
        <w:t>1,956.52</w:t>
      </w:r>
      <w:r>
        <w:rPr>
          <w:rFonts w:hint="eastAsia" w:ascii="仿宋_GB2312" w:eastAsia="仿宋_GB2312"/>
          <w:sz w:val="32"/>
          <w:szCs w:val="32"/>
        </w:rPr>
        <w:t>万元增加</w:t>
      </w:r>
      <w:r>
        <w:rPr>
          <w:rFonts w:ascii="仿宋_GB2312" w:eastAsia="仿宋_GB2312"/>
          <w:sz w:val="32"/>
          <w:szCs w:val="32"/>
        </w:rPr>
        <w:t>180.04</w:t>
      </w:r>
      <w:r>
        <w:rPr>
          <w:rFonts w:hint="eastAsia" w:ascii="仿宋_GB2312" w:eastAsia="仿宋_GB2312"/>
          <w:sz w:val="32"/>
          <w:szCs w:val="32"/>
        </w:rPr>
        <w:t>万元，增长9.</w:t>
      </w:r>
      <w:r>
        <w:rPr>
          <w:rFonts w:ascii="仿宋_GB2312" w:eastAsia="仿宋_GB2312"/>
          <w:sz w:val="32"/>
          <w:szCs w:val="32"/>
        </w:rPr>
        <w:t>20</w:t>
      </w:r>
      <w:r>
        <w:rPr>
          <w:rFonts w:hint="eastAsia" w:ascii="仿宋_GB2312" w:eastAsia="仿宋_GB2312"/>
          <w:sz w:val="32"/>
          <w:szCs w:val="32"/>
        </w:rPr>
        <w:t>%。主要原因</w:t>
      </w:r>
      <w:r>
        <w:rPr>
          <w:rFonts w:hint="eastAsia" w:ascii="仿宋_GB2312" w:eastAsia="仿宋_GB2312"/>
          <w:sz w:val="32"/>
          <w:szCs w:val="32"/>
          <w:lang w:val="en-US" w:eastAsia="zh-CN"/>
        </w:rPr>
        <w:t>是</w:t>
      </w:r>
      <w:r>
        <w:rPr>
          <w:rFonts w:hint="eastAsia" w:ascii="仿宋_GB2312" w:eastAsia="仿宋_GB2312"/>
          <w:color w:val="000000"/>
          <w:sz w:val="32"/>
          <w:szCs w:val="32"/>
        </w:rPr>
        <w:t>人员增加、</w:t>
      </w:r>
      <w:r>
        <w:rPr>
          <w:rFonts w:hint="eastAsia" w:ascii="仿宋_GB2312" w:eastAsia="仿宋_GB2312"/>
          <w:sz w:val="32"/>
          <w:szCs w:val="32"/>
        </w:rPr>
        <w:t>职务职级调整、</w:t>
      </w:r>
      <w:r>
        <w:rPr>
          <w:rFonts w:hint="eastAsia" w:ascii="仿宋_GB2312" w:eastAsia="仿宋_GB2312"/>
          <w:color w:val="000000"/>
          <w:sz w:val="32"/>
          <w:szCs w:val="32"/>
        </w:rPr>
        <w:t>工龄增加、社保基数调整等导致的人员经费增长。</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（一）本年财政拨款收入2,136.56万元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1.一般公共预算拨款收入2,136.56万元。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ascii="楷体_GB2312" w:eastAsia="楷体_GB2312"/>
          <w:sz w:val="32"/>
          <w:szCs w:val="32"/>
        </w:rPr>
        <w:t>0.00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w:t>
      </w:r>
      <w:r>
        <w:rPr>
          <w:rFonts w:ascii="楷体_GB2312" w:eastAsia="楷体_GB2312"/>
          <w:sz w:val="32"/>
          <w:szCs w:val="32"/>
        </w:rPr>
        <w:t>0.00</w:t>
      </w:r>
      <w:r>
        <w:rPr>
          <w:rFonts w:hint="eastAsia" w:ascii="楷体_GB2312" w:eastAsia="楷体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w:t>
      </w:r>
      <w:r>
        <w:rPr>
          <w:rFonts w:ascii="仿宋_GB2312" w:eastAsia="仿宋_GB2312"/>
          <w:sz w:val="32"/>
          <w:szCs w:val="32"/>
        </w:rPr>
        <w:t>0.00</w:t>
      </w:r>
      <w:r>
        <w:rPr>
          <w:rFonts w:hint="eastAsia" w:ascii="仿宋_GB2312" w:eastAsia="仿宋_GB2312"/>
          <w:sz w:val="32"/>
          <w:szCs w:val="32"/>
        </w:rPr>
        <w:t>万元。</w:t>
      </w:r>
    </w:p>
    <w:p>
      <w:pPr>
        <w:pStyle w:val="2"/>
        <w:jc w:val="center"/>
        <w:rPr>
          <w:rFonts w:ascii="仿宋_GB2312" w:eastAsia="仿宋_GB2312"/>
          <w:b w:val="0"/>
          <w:bCs w:val="0"/>
          <w:sz w:val="32"/>
        </w:rPr>
      </w:pPr>
      <w:r>
        <w:rPr>
          <w:rFonts w:hint="eastAsia" w:ascii="仿宋_GB2312" w:eastAsia="仿宋_GB2312"/>
          <w:b w:val="0"/>
          <w:bCs w:val="0"/>
          <w:sz w:val="32"/>
        </w:rPr>
        <w:t>图1：收入预算</w:t>
      </w:r>
    </w:p>
    <w:p>
      <w:pPr>
        <w:jc w:val="center"/>
      </w:pPr>
      <w:r>
        <w:drawing>
          <wp:inline distT="0" distB="0" distL="0" distR="0">
            <wp:extent cx="5175885" cy="3169285"/>
            <wp:effectExtent l="4445" t="4445" r="10795" b="762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2023年支出预算2,136.56万元，比2022年年初预算数</w:t>
      </w:r>
      <w:r>
        <w:rPr>
          <w:rFonts w:ascii="仿宋_GB2312" w:eastAsia="仿宋_GB2312"/>
          <w:color w:val="000000"/>
          <w:sz w:val="32"/>
          <w:szCs w:val="32"/>
        </w:rPr>
        <w:t>1,956.52</w:t>
      </w:r>
      <w:r>
        <w:rPr>
          <w:rFonts w:hint="eastAsia" w:ascii="仿宋_GB2312" w:eastAsia="仿宋_GB2312"/>
          <w:sz w:val="32"/>
          <w:szCs w:val="32"/>
        </w:rPr>
        <w:t>万元增加</w:t>
      </w:r>
      <w:r>
        <w:rPr>
          <w:rFonts w:ascii="仿宋_GB2312" w:eastAsia="仿宋_GB2312"/>
          <w:sz w:val="32"/>
          <w:szCs w:val="32"/>
        </w:rPr>
        <w:t>180.04</w:t>
      </w:r>
      <w:r>
        <w:rPr>
          <w:rFonts w:hint="eastAsia" w:ascii="仿宋_GB2312" w:eastAsia="仿宋_GB2312"/>
          <w:sz w:val="32"/>
          <w:szCs w:val="32"/>
        </w:rPr>
        <w:t>万元，增长9.</w:t>
      </w:r>
      <w:r>
        <w:rPr>
          <w:rFonts w:ascii="仿宋_GB2312" w:eastAsia="仿宋_GB2312"/>
          <w:sz w:val="32"/>
          <w:szCs w:val="32"/>
        </w:rPr>
        <w:t>20</w:t>
      </w:r>
      <w:r>
        <w:rPr>
          <w:rFonts w:hint="eastAsia" w:ascii="仿宋_GB2312" w:eastAsia="仿宋_GB2312"/>
          <w:sz w:val="32"/>
          <w:szCs w:val="32"/>
        </w:rPr>
        <w:t>%。主要原因</w:t>
      </w:r>
      <w:r>
        <w:rPr>
          <w:rFonts w:hint="eastAsia" w:ascii="仿宋_GB2312" w:eastAsia="仿宋_GB2312"/>
          <w:sz w:val="32"/>
          <w:szCs w:val="32"/>
          <w:lang w:val="en-US" w:eastAsia="zh-CN"/>
        </w:rPr>
        <w:t>是</w:t>
      </w:r>
      <w:r>
        <w:rPr>
          <w:rFonts w:hint="eastAsia" w:ascii="仿宋_GB2312" w:eastAsia="仿宋_GB2312"/>
          <w:color w:val="000000"/>
          <w:sz w:val="32"/>
          <w:szCs w:val="32"/>
        </w:rPr>
        <w:t>人员增加、</w:t>
      </w:r>
      <w:r>
        <w:rPr>
          <w:rFonts w:hint="eastAsia" w:ascii="仿宋_GB2312" w:eastAsia="仿宋_GB2312"/>
          <w:sz w:val="32"/>
          <w:szCs w:val="32"/>
        </w:rPr>
        <w:t>职务职级调整、</w:t>
      </w:r>
      <w:r>
        <w:rPr>
          <w:rFonts w:hint="eastAsia" w:ascii="仿宋_GB2312" w:eastAsia="仿宋_GB2312"/>
          <w:color w:val="000000"/>
          <w:sz w:val="32"/>
          <w:szCs w:val="32"/>
        </w:rPr>
        <w:t>工龄增加、社保基数调整等导致的人员经费增长。</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ascii="仿宋_GB2312" w:eastAsia="仿宋_GB2312"/>
          <w:sz w:val="32"/>
          <w:szCs w:val="32"/>
        </w:rPr>
        <w:t>755.23</w:t>
      </w:r>
      <w:r>
        <w:rPr>
          <w:rFonts w:hint="eastAsia" w:ascii="仿宋_GB2312" w:eastAsia="仿宋_GB2312"/>
          <w:sz w:val="32"/>
          <w:szCs w:val="32"/>
        </w:rPr>
        <w:t>万元，占总支出预算35.35%，比2022年年初预算数</w:t>
      </w:r>
      <w:r>
        <w:rPr>
          <w:rFonts w:ascii="仿宋_GB2312" w:eastAsia="仿宋_GB2312"/>
          <w:sz w:val="32"/>
          <w:szCs w:val="32"/>
        </w:rPr>
        <w:t>397.84</w:t>
      </w:r>
      <w:r>
        <w:rPr>
          <w:rFonts w:hint="eastAsia" w:ascii="仿宋_GB2312" w:eastAsia="仿宋_GB2312"/>
          <w:sz w:val="32"/>
          <w:szCs w:val="32"/>
        </w:rPr>
        <w:t>万元增加357.3</w:t>
      </w:r>
      <w:r>
        <w:rPr>
          <w:rFonts w:ascii="仿宋_GB2312" w:eastAsia="仿宋_GB2312"/>
          <w:sz w:val="32"/>
          <w:szCs w:val="32"/>
        </w:rPr>
        <w:t>9</w:t>
      </w:r>
      <w:r>
        <w:rPr>
          <w:rFonts w:hint="eastAsia" w:ascii="仿宋_GB2312" w:eastAsia="仿宋_GB2312"/>
          <w:sz w:val="32"/>
          <w:szCs w:val="32"/>
        </w:rPr>
        <w:t>万元，增长89.83%。</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项目支出预算1,381.33万元，比2022年年初预算数</w:t>
      </w:r>
      <w:r>
        <w:rPr>
          <w:rFonts w:ascii="仿宋_GB2312" w:eastAsia="仿宋_GB2312"/>
          <w:color w:val="000000"/>
          <w:sz w:val="32"/>
          <w:szCs w:val="32"/>
        </w:rPr>
        <w:t>1,558.69</w:t>
      </w:r>
      <w:r>
        <w:rPr>
          <w:rFonts w:hint="eastAsia" w:ascii="仿宋_GB2312" w:eastAsia="仿宋_GB2312"/>
          <w:sz w:val="32"/>
          <w:szCs w:val="32"/>
        </w:rPr>
        <w:t>万元减少</w:t>
      </w:r>
      <w:r>
        <w:rPr>
          <w:rFonts w:ascii="仿宋_GB2312" w:eastAsia="仿宋_GB2312"/>
          <w:sz w:val="32"/>
          <w:szCs w:val="32"/>
        </w:rPr>
        <w:t>177.36</w:t>
      </w:r>
      <w:r>
        <w:rPr>
          <w:rFonts w:hint="eastAsia" w:ascii="仿宋_GB2312" w:eastAsia="仿宋_GB2312"/>
          <w:sz w:val="32"/>
          <w:szCs w:val="32"/>
        </w:rPr>
        <w:t>万元，下降11.</w:t>
      </w:r>
      <w:r>
        <w:rPr>
          <w:rFonts w:ascii="仿宋_GB2312" w:eastAsia="仿宋_GB2312"/>
          <w:sz w:val="32"/>
          <w:szCs w:val="32"/>
        </w:rPr>
        <w:t>38</w:t>
      </w:r>
      <w:r>
        <w:rPr>
          <w:rFonts w:hint="eastAsia" w:ascii="仿宋_GB2312" w:eastAsia="仿宋_GB2312"/>
          <w:sz w:val="32"/>
          <w:szCs w:val="32"/>
        </w:rPr>
        <w:t>%。其中：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w:t>
      </w:r>
      <w:r>
        <w:rPr>
          <w:rFonts w:ascii="仿宋_GB2312" w:eastAsia="仿宋_GB2312"/>
          <w:sz w:val="32"/>
          <w:szCs w:val="32"/>
        </w:rPr>
        <w:t>0.00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w:t>
      </w:r>
      <w:r>
        <w:rPr>
          <w:rFonts w:ascii="仿宋_GB2312" w:eastAsia="仿宋_GB2312"/>
          <w:sz w:val="32"/>
          <w:szCs w:val="32"/>
        </w:rPr>
        <w:t>0.00</w:t>
      </w:r>
      <w:r>
        <w:rPr>
          <w:rFonts w:hint="eastAsia" w:ascii="仿宋_GB2312" w:eastAsia="仿宋_GB2312"/>
          <w:sz w:val="32"/>
          <w:szCs w:val="32"/>
        </w:rPr>
        <w:t>万元。</w:t>
      </w:r>
    </w:p>
    <w:p>
      <w:pPr>
        <w:pStyle w:val="2"/>
        <w:ind w:firstLine="642"/>
        <w:jc w:val="center"/>
        <w:rPr>
          <w:rFonts w:ascii="仿宋_GB2312" w:eastAsia="仿宋_GB2312"/>
          <w:b w:val="0"/>
          <w:bCs w:val="0"/>
          <w:sz w:val="32"/>
        </w:rPr>
      </w:pPr>
      <w:r>
        <w:rPr>
          <w:rFonts w:hint="eastAsia" w:ascii="仿宋_GB2312" w:eastAsia="仿宋_GB2312"/>
          <w:b w:val="0"/>
          <w:bCs w:val="0"/>
          <w:sz w:val="32"/>
        </w:rPr>
        <w:t>图2：基本支出和项目支出情况</w:t>
      </w:r>
    </w:p>
    <w:p>
      <w:pPr>
        <w:pStyle w:val="2"/>
        <w:jc w:val="center"/>
      </w:pPr>
      <w:r>
        <w:drawing>
          <wp:inline distT="0" distB="0" distL="0" distR="0">
            <wp:extent cx="4572000" cy="2743200"/>
            <wp:effectExtent l="4445" t="4445" r="5080" b="508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480" w:firstLineChars="150"/>
        <w:rPr>
          <w:rFonts w:ascii="仿宋_GB2312" w:hAnsi="仿宋_GB2312" w:eastAsia="楷体_GB2312" w:cs="仿宋_GB2312"/>
          <w:color w:val="000000" w:themeColor="text1"/>
          <w14:textFill>
            <w14:solidFill>
              <w14:schemeClr w14:val="tx1"/>
            </w14:solidFill>
          </w14:textFill>
        </w:rPr>
      </w:pPr>
      <w:r>
        <w:rPr>
          <w:rFonts w:hint="eastAsia" w:ascii="楷体_GB2312" w:eastAsia="楷体_GB2312" w:cs="楷体_GB2312"/>
          <w:color w:val="000000" w:themeColor="text1"/>
          <w:sz w:val="32"/>
          <w:szCs w:val="32"/>
          <w14:textFill>
            <w14:solidFill>
              <w14:schemeClr w14:val="tx1"/>
            </w14:solidFill>
          </w14:textFill>
        </w:rPr>
        <w:t>本单位2023年无财政拨款安排的“三公”经费预算。</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2023年北京市</w:t>
      </w:r>
      <w:r>
        <w:rPr>
          <w:rFonts w:ascii="仿宋_GB2312" w:eastAsia="仿宋_GB2312"/>
          <w:sz w:val="32"/>
          <w:szCs w:val="32"/>
        </w:rPr>
        <w:t>实验动物管理</w:t>
      </w:r>
      <w:r>
        <w:rPr>
          <w:rFonts w:hint="eastAsia" w:ascii="仿宋_GB2312" w:eastAsia="仿宋_GB2312"/>
          <w:sz w:val="32"/>
          <w:szCs w:val="32"/>
        </w:rPr>
        <w:t>办</w:t>
      </w:r>
      <w:r>
        <w:rPr>
          <w:rFonts w:ascii="仿宋_GB2312" w:eastAsia="仿宋_GB2312"/>
          <w:sz w:val="32"/>
          <w:szCs w:val="32"/>
        </w:rPr>
        <w:t>公室（北京市人类遗传资源管理办公室）</w:t>
      </w:r>
      <w:r>
        <w:rPr>
          <w:rFonts w:hint="eastAsia" w:ascii="仿宋_GB2312" w:eastAsia="仿宋_GB2312"/>
          <w:sz w:val="32"/>
          <w:szCs w:val="32"/>
        </w:rPr>
        <w:t>政府采购预算总额</w:t>
      </w:r>
      <w:r>
        <w:rPr>
          <w:rFonts w:ascii="仿宋_GB2312" w:eastAsia="仿宋_GB2312"/>
          <w:sz w:val="32"/>
          <w:szCs w:val="32"/>
        </w:rPr>
        <w:t>1,024.01</w:t>
      </w:r>
      <w:r>
        <w:rPr>
          <w:rFonts w:hint="eastAsia" w:ascii="仿宋_GB2312" w:eastAsia="仿宋_GB2312"/>
          <w:sz w:val="32"/>
          <w:szCs w:val="32"/>
        </w:rPr>
        <w:t>万元，其中：政府采购货物预算</w:t>
      </w:r>
      <w:r>
        <w:rPr>
          <w:rFonts w:ascii="仿宋_GB2312" w:eastAsia="仿宋_GB2312"/>
          <w:sz w:val="32"/>
          <w:szCs w:val="32"/>
        </w:rPr>
        <w:t>339.52</w:t>
      </w:r>
      <w:r>
        <w:rPr>
          <w:rFonts w:hint="eastAsia" w:ascii="仿宋_GB2312" w:eastAsia="仿宋_GB2312"/>
          <w:sz w:val="32"/>
          <w:szCs w:val="32"/>
        </w:rPr>
        <w:t>万元，政府采购工程预算</w:t>
      </w:r>
      <w:r>
        <w:rPr>
          <w:rFonts w:ascii="仿宋_GB2312" w:eastAsia="仿宋_GB2312"/>
          <w:sz w:val="32"/>
          <w:szCs w:val="32"/>
        </w:rPr>
        <w:t>60.00</w:t>
      </w:r>
      <w:r>
        <w:rPr>
          <w:rFonts w:hint="eastAsia" w:ascii="仿宋_GB2312" w:eastAsia="仿宋_GB2312"/>
          <w:sz w:val="32"/>
          <w:szCs w:val="32"/>
        </w:rPr>
        <w:t>万元，政府采购服务预算</w:t>
      </w:r>
      <w:r>
        <w:rPr>
          <w:rFonts w:ascii="仿宋_GB2312" w:eastAsia="仿宋_GB2312"/>
          <w:sz w:val="32"/>
          <w:szCs w:val="32"/>
        </w:rPr>
        <w:t>624.49</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楷体_GB2312" w:eastAsia="楷体_GB2312"/>
          <w:color w:val="000000" w:themeColor="text1"/>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t>本单位不属于政府购买服务购买主体</w:t>
      </w:r>
      <w:r>
        <w:rPr>
          <w:rFonts w:hint="eastAsia" w:ascii="仿宋_GB2312" w:hAnsi="宋体" w:eastAsia="仿宋_GB2312" w:cs="宋体"/>
          <w:color w:val="000000" w:themeColor="text1"/>
          <w:kern w:val="0"/>
          <w:sz w:val="32"/>
          <w:szCs w:val="32"/>
          <w14:textFill>
            <w14:solidFill>
              <w14:schemeClr w14:val="tx1"/>
            </w14:solidFill>
          </w14:textFill>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2023年北京市</w:t>
      </w:r>
      <w:r>
        <w:rPr>
          <w:rFonts w:ascii="仿宋_GB2312" w:eastAsia="仿宋_GB2312"/>
          <w:sz w:val="32"/>
          <w:szCs w:val="32"/>
        </w:rPr>
        <w:t>实验动物管理</w:t>
      </w:r>
      <w:r>
        <w:rPr>
          <w:rFonts w:hint="eastAsia" w:ascii="仿宋_GB2312" w:eastAsia="仿宋_GB2312"/>
          <w:sz w:val="32"/>
          <w:szCs w:val="32"/>
        </w:rPr>
        <w:t>办</w:t>
      </w:r>
      <w:r>
        <w:rPr>
          <w:rFonts w:ascii="仿宋_GB2312" w:eastAsia="仿宋_GB2312"/>
          <w:sz w:val="32"/>
          <w:szCs w:val="32"/>
        </w:rPr>
        <w:t>公室（北京市人类遗传资源管理办公室）1</w:t>
      </w:r>
      <w:r>
        <w:rPr>
          <w:rFonts w:hint="eastAsia" w:ascii="仿宋_GB2312" w:eastAsia="仿宋_GB2312"/>
          <w:sz w:val="32"/>
          <w:szCs w:val="32"/>
        </w:rPr>
        <w:t>家参公管理事业单位的机关运行经费财政拨款预算</w:t>
      </w:r>
      <w:r>
        <w:rPr>
          <w:rFonts w:ascii="仿宋_GB2312" w:eastAsia="仿宋_GB2312"/>
          <w:sz w:val="32"/>
          <w:szCs w:val="32"/>
        </w:rPr>
        <w:t>69.33</w:t>
      </w:r>
      <w:r>
        <w:rPr>
          <w:rFonts w:hint="eastAsia" w:ascii="仿宋_GB2312" w:eastAsia="仿宋_GB2312"/>
          <w:sz w:val="32"/>
          <w:szCs w:val="32"/>
        </w:rPr>
        <w:t>万元。</w:t>
      </w:r>
    </w:p>
    <w:p>
      <w:pPr>
        <w:spacing w:line="560" w:lineRule="exact"/>
        <w:ind w:left="64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2023年，北京市</w:t>
      </w:r>
      <w:r>
        <w:rPr>
          <w:rFonts w:ascii="仿宋_GB2312" w:eastAsia="仿宋_GB2312"/>
          <w:sz w:val="32"/>
          <w:szCs w:val="32"/>
        </w:rPr>
        <w:t>实验动物管理</w:t>
      </w:r>
      <w:r>
        <w:rPr>
          <w:rFonts w:hint="eastAsia" w:ascii="仿宋_GB2312" w:eastAsia="仿宋_GB2312"/>
          <w:sz w:val="32"/>
          <w:szCs w:val="32"/>
        </w:rPr>
        <w:t>办</w:t>
      </w:r>
      <w:r>
        <w:rPr>
          <w:rFonts w:ascii="仿宋_GB2312" w:eastAsia="仿宋_GB2312"/>
          <w:sz w:val="32"/>
          <w:szCs w:val="32"/>
        </w:rPr>
        <w:t>公室（北京市人类遗传资源管理办公室）</w:t>
      </w:r>
      <w:r>
        <w:rPr>
          <w:rFonts w:hint="eastAsia" w:ascii="仿宋_GB2312" w:eastAsia="仿宋_GB2312"/>
          <w:sz w:val="32"/>
          <w:szCs w:val="32"/>
        </w:rPr>
        <w:t>填报绩效目标的预算项目</w:t>
      </w:r>
      <w:r>
        <w:rPr>
          <w:rFonts w:ascii="仿宋_GB2312" w:eastAsia="仿宋_GB2312"/>
          <w:sz w:val="32"/>
          <w:szCs w:val="32"/>
        </w:rPr>
        <w:t>5</w:t>
      </w:r>
      <w:r>
        <w:rPr>
          <w:rFonts w:hint="eastAsia" w:ascii="仿宋_GB2312" w:eastAsia="仿宋_GB2312"/>
          <w:sz w:val="32"/>
          <w:szCs w:val="32"/>
        </w:rPr>
        <w:t>个，占本单位本年预算项目</w:t>
      </w:r>
      <w:r>
        <w:rPr>
          <w:rFonts w:ascii="仿宋_GB2312" w:eastAsia="仿宋_GB2312"/>
          <w:sz w:val="32"/>
          <w:szCs w:val="32"/>
        </w:rPr>
        <w:t>5</w:t>
      </w:r>
      <w:r>
        <w:rPr>
          <w:rFonts w:hint="eastAsia" w:ascii="仿宋_GB2312" w:eastAsia="仿宋_GB2312"/>
          <w:sz w:val="32"/>
          <w:szCs w:val="32"/>
        </w:rPr>
        <w:t>个的</w:t>
      </w:r>
      <w:r>
        <w:rPr>
          <w:rFonts w:ascii="仿宋_GB2312" w:eastAsia="仿宋_GB2312"/>
          <w:sz w:val="32"/>
          <w:szCs w:val="32"/>
        </w:rPr>
        <w:t>100</w:t>
      </w:r>
      <w:r>
        <w:rPr>
          <w:rFonts w:hint="eastAsia" w:ascii="仿宋_GB2312" w:eastAsia="仿宋_GB2312"/>
          <w:sz w:val="32"/>
          <w:szCs w:val="32"/>
        </w:rPr>
        <w:t>%。填报绩效目标的项目支出预算1,381.33万元，占本单位本年项目支出预算的</w:t>
      </w:r>
      <w:r>
        <w:rPr>
          <w:rFonts w:ascii="仿宋_GB2312" w:eastAsia="仿宋_GB2312"/>
          <w:sz w:val="32"/>
          <w:szCs w:val="32"/>
        </w:rPr>
        <w:t>100</w:t>
      </w:r>
      <w:r>
        <w:rPr>
          <w:rFonts w:hint="eastAsia" w:ascii="仿宋_GB2312" w:eastAsia="仿宋_GB2312"/>
          <w:sz w:val="32"/>
          <w:szCs w:val="32"/>
        </w:rPr>
        <w:t>%。</w:t>
      </w:r>
    </w:p>
    <w:p>
      <w:pPr>
        <w:numPr>
          <w:ilvl w:val="0"/>
          <w:numId w:val="1"/>
        </w:numPr>
        <w:spacing w:line="560" w:lineRule="exact"/>
        <w:ind w:firstLine="640" w:firstLineChars="200"/>
        <w:rPr>
          <w:rFonts w:ascii="楷体_GB2312" w:eastAsia="楷体_GB2312"/>
          <w:sz w:val="32"/>
          <w:szCs w:val="32"/>
        </w:rPr>
      </w:pPr>
      <w:r>
        <w:rPr>
          <w:rFonts w:hint="eastAsia" w:ascii="楷体_GB2312" w:eastAsia="楷体_GB2312"/>
          <w:sz w:val="32"/>
          <w:szCs w:val="32"/>
        </w:rPr>
        <w:t>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ascii="仿宋_GB2312" w:eastAsia="仿宋_GB2312"/>
          <w:color w:val="000000"/>
          <w:sz w:val="32"/>
          <w:szCs w:val="32"/>
        </w:rPr>
        <w:t>2</w:t>
      </w:r>
      <w:r>
        <w:rPr>
          <w:rFonts w:hint="eastAsia" w:ascii="仿宋_GB2312" w:eastAsia="仿宋_GB2312"/>
          <w:color w:val="000000"/>
          <w:sz w:val="32"/>
          <w:szCs w:val="32"/>
        </w:rPr>
        <w:t>年底，</w:t>
      </w:r>
      <w:r>
        <w:rPr>
          <w:rFonts w:hint="eastAsia" w:ascii="仿宋_GB2312" w:eastAsia="仿宋_GB2312"/>
          <w:sz w:val="32"/>
          <w:szCs w:val="32"/>
        </w:rPr>
        <w:t>北京市</w:t>
      </w:r>
      <w:r>
        <w:rPr>
          <w:rFonts w:ascii="仿宋_GB2312" w:eastAsia="仿宋_GB2312"/>
          <w:sz w:val="32"/>
          <w:szCs w:val="32"/>
        </w:rPr>
        <w:t>实验动物管理</w:t>
      </w:r>
      <w:r>
        <w:rPr>
          <w:rFonts w:hint="eastAsia" w:ascii="仿宋_GB2312" w:eastAsia="仿宋_GB2312"/>
          <w:sz w:val="32"/>
          <w:szCs w:val="32"/>
        </w:rPr>
        <w:t>办</w:t>
      </w:r>
      <w:r>
        <w:rPr>
          <w:rFonts w:ascii="仿宋_GB2312" w:eastAsia="仿宋_GB2312"/>
          <w:sz w:val="32"/>
          <w:szCs w:val="32"/>
        </w:rPr>
        <w:t>公室（北京市人类遗传资源管理办公室）</w:t>
      </w:r>
      <w:r>
        <w:rPr>
          <w:rFonts w:hint="eastAsia" w:ascii="仿宋_GB2312" w:eastAsia="仿宋_GB2312"/>
          <w:color w:val="000000"/>
          <w:sz w:val="32"/>
          <w:szCs w:val="32"/>
        </w:rPr>
        <w:t>共有车辆</w:t>
      </w:r>
      <w:r>
        <w:rPr>
          <w:rFonts w:ascii="仿宋_GB2312" w:eastAsia="仿宋_GB2312"/>
          <w:color w:val="000000"/>
          <w:sz w:val="32"/>
          <w:szCs w:val="32"/>
        </w:rPr>
        <w:t>0</w:t>
      </w:r>
      <w:r>
        <w:rPr>
          <w:rFonts w:hint="eastAsia" w:ascii="仿宋_GB2312" w:eastAsia="仿宋_GB2312"/>
          <w:color w:val="000000"/>
          <w:sz w:val="32"/>
          <w:szCs w:val="32"/>
        </w:rPr>
        <w:t>台，共计</w:t>
      </w:r>
      <w:r>
        <w:rPr>
          <w:rFonts w:ascii="仿宋_GB2312" w:eastAsia="仿宋_GB2312"/>
          <w:color w:val="000000"/>
          <w:sz w:val="32"/>
          <w:szCs w:val="32"/>
        </w:rPr>
        <w:t>0.00</w:t>
      </w:r>
      <w:r>
        <w:rPr>
          <w:rFonts w:hint="eastAsia" w:ascii="仿宋_GB2312" w:eastAsia="仿宋_GB2312"/>
          <w:color w:val="000000"/>
          <w:sz w:val="32"/>
          <w:szCs w:val="32"/>
        </w:rPr>
        <w:t>万元；单位价值50万元以上的通用设备</w:t>
      </w:r>
      <w:r>
        <w:rPr>
          <w:rFonts w:ascii="仿宋_GB2312" w:eastAsia="仿宋_GB2312"/>
          <w:color w:val="000000"/>
          <w:sz w:val="32"/>
          <w:szCs w:val="32"/>
        </w:rPr>
        <w:t>1</w:t>
      </w:r>
      <w:r>
        <w:rPr>
          <w:rFonts w:hint="eastAsia" w:ascii="仿宋_GB2312" w:eastAsia="仿宋_GB2312"/>
          <w:color w:val="000000"/>
          <w:sz w:val="32"/>
          <w:szCs w:val="32"/>
        </w:rPr>
        <w:t>台（套），共计</w:t>
      </w:r>
      <w:r>
        <w:rPr>
          <w:rFonts w:ascii="仿宋_GB2312" w:eastAsia="仿宋_GB2312"/>
          <w:color w:val="000000"/>
          <w:sz w:val="32"/>
          <w:szCs w:val="32"/>
        </w:rPr>
        <w:t>55.00</w:t>
      </w:r>
      <w:r>
        <w:rPr>
          <w:rFonts w:hint="eastAsia" w:ascii="仿宋_GB2312" w:eastAsia="仿宋_GB2312"/>
          <w:color w:val="000000"/>
          <w:sz w:val="32"/>
          <w:szCs w:val="32"/>
        </w:rPr>
        <w:t>万元，单位价值100万元以上的专用设备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0.00</w:t>
      </w:r>
      <w:r>
        <w:rPr>
          <w:rFonts w:hint="eastAsia" w:ascii="仿宋_GB2312" w:eastAsia="仿宋_GB2312"/>
          <w:color w:val="000000"/>
          <w:sz w:val="32"/>
          <w:szCs w:val="32"/>
        </w:rPr>
        <w:t>万元。</w:t>
      </w:r>
    </w:p>
    <w:p>
      <w:pPr>
        <w:numPr>
          <w:ilvl w:val="0"/>
          <w:numId w:val="2"/>
        </w:numPr>
        <w:spacing w:line="560" w:lineRule="exact"/>
        <w:ind w:firstLine="640" w:firstLineChars="200"/>
        <w:rPr>
          <w:rFonts w:ascii="仿宋_GB2312" w:eastAsia="仿宋_GB2312"/>
          <w:color w:val="000000"/>
          <w:sz w:val="32"/>
          <w:szCs w:val="32"/>
        </w:rPr>
      </w:pPr>
      <w:r>
        <w:rPr>
          <w:rFonts w:hint="eastAsia" w:asci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w:t>
      </w:r>
      <w:r>
        <w:rPr>
          <w:rFonts w:hint="eastAsia" w:ascii="仿宋_GB2312" w:eastAsia="仿宋_GB2312"/>
          <w:sz w:val="32"/>
          <w:szCs w:val="32"/>
        </w:rPr>
        <w:t>北京市</w:t>
      </w:r>
      <w:r>
        <w:rPr>
          <w:rFonts w:ascii="仿宋_GB2312" w:eastAsia="仿宋_GB2312"/>
          <w:sz w:val="32"/>
          <w:szCs w:val="32"/>
        </w:rPr>
        <w:t>实验动物管理</w:t>
      </w:r>
      <w:r>
        <w:rPr>
          <w:rFonts w:hint="eastAsia" w:ascii="仿宋_GB2312" w:eastAsia="仿宋_GB2312"/>
          <w:sz w:val="32"/>
          <w:szCs w:val="32"/>
        </w:rPr>
        <w:t>办</w:t>
      </w:r>
      <w:r>
        <w:rPr>
          <w:rFonts w:ascii="仿宋_GB2312" w:eastAsia="仿宋_GB2312"/>
          <w:sz w:val="32"/>
          <w:szCs w:val="32"/>
        </w:rPr>
        <w:t>公室（北京市人类遗传资源管理办公室）</w:t>
      </w:r>
      <w:r>
        <w:rPr>
          <w:rFonts w:hint="eastAsia" w:ascii="仿宋_GB2312" w:eastAsia="仿宋_GB2312"/>
          <w:color w:val="000000"/>
          <w:sz w:val="32"/>
          <w:szCs w:val="32"/>
        </w:rPr>
        <w:t>2023年度单位预算报表</w:t>
      </w:r>
      <w:r>
        <w:rPr>
          <w:rFonts w:hint="eastAsia" w:ascii="仿宋_GB2312" w:eastAsia="仿宋_GB2312" w:cs="宋体"/>
          <w:color w:val="000000"/>
          <w:kern w:val="0"/>
          <w:sz w:val="32"/>
          <w:szCs w:val="32"/>
          <w:lang w:val="zh-CN"/>
        </w:rPr>
        <w:t xml:space="preserve"> </w:t>
      </w:r>
    </w:p>
    <w:p>
      <w:bookmarkStart w:id="0" w:name="chaosong"/>
      <w:bookmarkEnd w:id="0"/>
    </w:p>
    <w:sectPr>
      <w:footerReference r:id="rId3" w:type="default"/>
      <w:pgSz w:w="11906" w:h="16838"/>
      <w:pgMar w:top="1327" w:right="1800" w:bottom="1327"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84hJ9EAAAADAQAADwAAAAAAAAABACAAAAAiAAAAZHJz&#10;L2Rvd25yZXYueG1sUEsBAhQAFAAAAAgAh07iQC5LWKwLAgAAAgQAAA4AAAAAAAAAAQAgAAAAIAEA&#10;AGRycy9lMm9Eb2MueG1sUEsFBgAAAAAGAAYAWQEAAJ0FAAAAAA==&#10;">
              <v:fill on="f" focussize="0,0"/>
              <v:stroke on="f"/>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1F72E"/>
    <w:multiLevelType w:val="singleLevel"/>
    <w:tmpl w:val="6551F72E"/>
    <w:lvl w:ilvl="0" w:tentative="0">
      <w:start w:val="6"/>
      <w:numFmt w:val="chineseCounting"/>
      <w:suff w:val="nothing"/>
      <w:lvlText w:val="%1、"/>
      <w:lvlJc w:val="left"/>
      <w:rPr>
        <w:rFonts w:hint="eastAsia" w:ascii="黑体" w:hAnsi="黑体" w:eastAsia="黑体" w:cs="黑体"/>
        <w:sz w:val="32"/>
        <w:szCs w:val="32"/>
      </w:rPr>
    </w:lvl>
  </w:abstractNum>
  <w:abstractNum w:abstractNumId="1">
    <w:nsid w:val="6E5B2E40"/>
    <w:multiLevelType w:val="singleLevel"/>
    <w:tmpl w:val="6E5B2E40"/>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xZTlhZWY5YzcxZDcyMjNlNTA2YTA3MGU5NWIyMDYifQ=="/>
  </w:docVars>
  <w:rsids>
    <w:rsidRoot w:val="00DA3E64"/>
    <w:rsid w:val="00041FDB"/>
    <w:rsid w:val="00065269"/>
    <w:rsid w:val="000C1BA4"/>
    <w:rsid w:val="001D6A60"/>
    <w:rsid w:val="001F075F"/>
    <w:rsid w:val="00253FBA"/>
    <w:rsid w:val="00255C05"/>
    <w:rsid w:val="00301C53"/>
    <w:rsid w:val="004062C2"/>
    <w:rsid w:val="004230FC"/>
    <w:rsid w:val="00446CC0"/>
    <w:rsid w:val="00497F1E"/>
    <w:rsid w:val="00594BC5"/>
    <w:rsid w:val="00610E99"/>
    <w:rsid w:val="00687BB6"/>
    <w:rsid w:val="006B13C0"/>
    <w:rsid w:val="006B67FA"/>
    <w:rsid w:val="00727317"/>
    <w:rsid w:val="007829F6"/>
    <w:rsid w:val="00784529"/>
    <w:rsid w:val="00784C87"/>
    <w:rsid w:val="007C4925"/>
    <w:rsid w:val="009268C8"/>
    <w:rsid w:val="00983EF0"/>
    <w:rsid w:val="009B363F"/>
    <w:rsid w:val="009D6C86"/>
    <w:rsid w:val="009E1902"/>
    <w:rsid w:val="00A84628"/>
    <w:rsid w:val="00AA0B9A"/>
    <w:rsid w:val="00B260FC"/>
    <w:rsid w:val="00BF4454"/>
    <w:rsid w:val="00CB3967"/>
    <w:rsid w:val="00DA3E64"/>
    <w:rsid w:val="00E31603"/>
    <w:rsid w:val="00E54D57"/>
    <w:rsid w:val="00EA7F2E"/>
    <w:rsid w:val="00F12CFF"/>
    <w:rsid w:val="00F528D5"/>
    <w:rsid w:val="00FD1D20"/>
    <w:rsid w:val="00FF1F8F"/>
    <w:rsid w:val="017A19A1"/>
    <w:rsid w:val="017C2CB3"/>
    <w:rsid w:val="01A00569"/>
    <w:rsid w:val="042A5AF7"/>
    <w:rsid w:val="04447FB3"/>
    <w:rsid w:val="06EA15F1"/>
    <w:rsid w:val="07CD02C0"/>
    <w:rsid w:val="0B19782D"/>
    <w:rsid w:val="0C2C5114"/>
    <w:rsid w:val="0C7849F9"/>
    <w:rsid w:val="0D3A63F7"/>
    <w:rsid w:val="0E146C48"/>
    <w:rsid w:val="0E827851"/>
    <w:rsid w:val="0FE3246F"/>
    <w:rsid w:val="10F36FE9"/>
    <w:rsid w:val="14144B0C"/>
    <w:rsid w:val="16EB30C7"/>
    <w:rsid w:val="16F629B9"/>
    <w:rsid w:val="17122D53"/>
    <w:rsid w:val="1731136C"/>
    <w:rsid w:val="19AF6DCC"/>
    <w:rsid w:val="1B8970FB"/>
    <w:rsid w:val="1BC25DF0"/>
    <w:rsid w:val="1E6C3F37"/>
    <w:rsid w:val="1EE52218"/>
    <w:rsid w:val="1F6E507C"/>
    <w:rsid w:val="2074045F"/>
    <w:rsid w:val="20C03F73"/>
    <w:rsid w:val="234D2B0B"/>
    <w:rsid w:val="27332718"/>
    <w:rsid w:val="27BE17EE"/>
    <w:rsid w:val="281020DB"/>
    <w:rsid w:val="28DF395A"/>
    <w:rsid w:val="2907142C"/>
    <w:rsid w:val="29A97D58"/>
    <w:rsid w:val="2A252715"/>
    <w:rsid w:val="2A3654DB"/>
    <w:rsid w:val="2A4C2E6E"/>
    <w:rsid w:val="2B024961"/>
    <w:rsid w:val="2BD27A1E"/>
    <w:rsid w:val="2FD86E9B"/>
    <w:rsid w:val="307153DD"/>
    <w:rsid w:val="31401FA3"/>
    <w:rsid w:val="32D67FDF"/>
    <w:rsid w:val="36154711"/>
    <w:rsid w:val="36CA5C2C"/>
    <w:rsid w:val="37582A72"/>
    <w:rsid w:val="3AF818B3"/>
    <w:rsid w:val="3B750EE5"/>
    <w:rsid w:val="3C587DD4"/>
    <w:rsid w:val="42FB6058"/>
    <w:rsid w:val="43364990"/>
    <w:rsid w:val="478D08F6"/>
    <w:rsid w:val="480935A0"/>
    <w:rsid w:val="49077CB8"/>
    <w:rsid w:val="498D4675"/>
    <w:rsid w:val="4C740363"/>
    <w:rsid w:val="4DA66A4D"/>
    <w:rsid w:val="4E367CEF"/>
    <w:rsid w:val="4EE01C53"/>
    <w:rsid w:val="4F24642B"/>
    <w:rsid w:val="4F383E2F"/>
    <w:rsid w:val="502548D9"/>
    <w:rsid w:val="50FB7F6E"/>
    <w:rsid w:val="5209265C"/>
    <w:rsid w:val="55926977"/>
    <w:rsid w:val="57BD5228"/>
    <w:rsid w:val="580972E0"/>
    <w:rsid w:val="583D1DD1"/>
    <w:rsid w:val="58971F5B"/>
    <w:rsid w:val="59B92E21"/>
    <w:rsid w:val="5A162CF0"/>
    <w:rsid w:val="5A752689"/>
    <w:rsid w:val="5BE81245"/>
    <w:rsid w:val="5E03083C"/>
    <w:rsid w:val="5E224753"/>
    <w:rsid w:val="5F07071D"/>
    <w:rsid w:val="60E66B0E"/>
    <w:rsid w:val="61611A47"/>
    <w:rsid w:val="61EA10F7"/>
    <w:rsid w:val="62422353"/>
    <w:rsid w:val="637235DB"/>
    <w:rsid w:val="63BC79DF"/>
    <w:rsid w:val="644C132A"/>
    <w:rsid w:val="6532375D"/>
    <w:rsid w:val="65406257"/>
    <w:rsid w:val="66AF572C"/>
    <w:rsid w:val="67546BF3"/>
    <w:rsid w:val="68B90674"/>
    <w:rsid w:val="69004F74"/>
    <w:rsid w:val="696B145E"/>
    <w:rsid w:val="698A285E"/>
    <w:rsid w:val="6DA1207D"/>
    <w:rsid w:val="6F50511D"/>
    <w:rsid w:val="7007308C"/>
    <w:rsid w:val="70EF1F9B"/>
    <w:rsid w:val="718B3E8F"/>
    <w:rsid w:val="721621FF"/>
    <w:rsid w:val="72D93BA9"/>
    <w:rsid w:val="72FB2E21"/>
    <w:rsid w:val="75112A0C"/>
    <w:rsid w:val="777C159D"/>
    <w:rsid w:val="78A74CC3"/>
    <w:rsid w:val="7D0B0AC6"/>
    <w:rsid w:val="7E183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3"/>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unhideWhenUsed/>
    <w:qFormat/>
    <w:uiPriority w:val="99"/>
    <w:pPr>
      <w:jc w:val="left"/>
    </w:pPr>
  </w:style>
  <w:style w:type="paragraph" w:styleId="4">
    <w:name w:val="Balloon Text"/>
    <w:basedOn w:val="1"/>
    <w:link w:val="19"/>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character" w:customStyle="1" w:styleId="13">
    <w:name w:val="标题 2 字符"/>
    <w:basedOn w:val="9"/>
    <w:link w:val="2"/>
    <w:qFormat/>
    <w:uiPriority w:val="0"/>
    <w:rPr>
      <w:rFonts w:ascii="Cambria" w:hAnsi="Cambria" w:eastAsia="黑体" w:cs="Times New Roman"/>
      <w:b/>
      <w:bCs/>
      <w:kern w:val="0"/>
      <w:sz w:val="36"/>
      <w:szCs w:val="32"/>
    </w:rPr>
  </w:style>
  <w:style w:type="paragraph" w:customStyle="1" w:styleId="14">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5">
    <w:name w:val="批注文字 字符"/>
    <w:basedOn w:val="9"/>
    <w:link w:val="3"/>
    <w:qFormat/>
    <w:uiPriority w:val="99"/>
    <w:rPr>
      <w:rFonts w:ascii="Times New Roman" w:hAnsi="Times New Roman" w:eastAsia="宋体" w:cs="Droid Sans"/>
      <w:szCs w:val="24"/>
    </w:rPr>
  </w:style>
  <w:style w:type="character" w:customStyle="1" w:styleId="16">
    <w:name w:val="批注主题 字符"/>
    <w:basedOn w:val="15"/>
    <w:link w:val="7"/>
    <w:semiHidden/>
    <w:qFormat/>
    <w:uiPriority w:val="99"/>
    <w:rPr>
      <w:rFonts w:ascii="Times New Roman" w:hAnsi="Times New Roman" w:eastAsia="宋体" w:cs="Droid Sans"/>
      <w:b/>
      <w:bCs/>
      <w:szCs w:val="24"/>
    </w:rPr>
  </w:style>
  <w:style w:type="paragraph" w:customStyle="1" w:styleId="17">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8">
    <w:name w:val="cf01"/>
    <w:basedOn w:val="9"/>
    <w:qFormat/>
    <w:uiPriority w:val="0"/>
    <w:rPr>
      <w:rFonts w:hint="eastAsia" w:ascii="Microsoft YaHei UI" w:hAnsi="Microsoft YaHei UI" w:eastAsia="Microsoft YaHei UI"/>
      <w:sz w:val="18"/>
      <w:szCs w:val="18"/>
    </w:rPr>
  </w:style>
  <w:style w:type="character" w:customStyle="1" w:styleId="19">
    <w:name w:val="批注框文本 字符"/>
    <w:basedOn w:val="9"/>
    <w:link w:val="4"/>
    <w:semiHidden/>
    <w:qFormat/>
    <w:uiPriority w:val="99"/>
    <w:rPr>
      <w:rFonts w:ascii="Times New Roman" w:hAnsi="Times New Roman" w:eastAsia="宋体" w:cs="Droid Sans"/>
      <w:kern w:val="2"/>
      <w:sz w:val="18"/>
      <w:szCs w:val="18"/>
    </w:rPr>
  </w:style>
  <w:style w:type="paragraph" w:customStyle="1" w:styleId="20">
    <w:name w:val="修订2"/>
    <w:hidden/>
    <w:semiHidden/>
    <w:qFormat/>
    <w:uiPriority w:val="99"/>
    <w:rPr>
      <w:rFonts w:ascii="Times New Roman" w:hAnsi="Times New Roman" w:eastAsia="宋体" w:cs="Droid Sans"/>
      <w:kern w:val="2"/>
      <w:sz w:val="21"/>
      <w:szCs w:val="24"/>
      <w:lang w:val="en-US" w:eastAsia="zh-CN" w:bidi="ar-SA"/>
    </w:rPr>
  </w:style>
  <w:style w:type="paragraph" w:customStyle="1" w:styleId="21">
    <w:name w:val="Revision"/>
    <w:hidden/>
    <w:semiHidden/>
    <w:qFormat/>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24037;&#20316;&#31807;3"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a:t>收入预算</a:t>
            </a:r>
            <a:r>
              <a:rPr lang="zh-CN"/>
              <a:t> </a:t>
            </a:r>
            <a:endParaRPr lang="zh-CN"/>
          </a:p>
        </c:rich>
      </c:tx>
      <c:layout/>
      <c:overlay val="0"/>
    </c:title>
    <c:autoTitleDeleted val="0"/>
    <c:plotArea>
      <c:layout>
        <c:manualLayout>
          <c:layoutTarget val="inner"/>
          <c:xMode val="edge"/>
          <c:yMode val="edge"/>
          <c:x val="0.195586928468214"/>
          <c:y val="0.167871480875619"/>
          <c:w val="0.500913562216504"/>
          <c:h val="0.818056596243428"/>
        </c:manualLayout>
      </c:layout>
      <c:pieChart>
        <c:varyColors val="1"/>
        <c:ser>
          <c:idx val="0"/>
          <c:order val="0"/>
          <c:tx>
            <c:strRef>
              <c:f>'图5--收入、支出结构'!$C$1:$C$2</c:f>
              <c:strCache>
                <c:ptCount val="1"/>
                <c:pt idx="0">
                  <c:v>收入预算 决算数</c:v>
                </c:pt>
              </c:strCache>
            </c:strRef>
          </c:tx>
          <c:explosion val="25"/>
          <c:dPt>
            <c:idx val="0"/>
            <c:bubble3D val="0"/>
            <c:explosion val="0"/>
          </c:dPt>
          <c:dLbls>
            <c:dLbl>
              <c:idx val="0"/>
              <c:layout>
                <c:manualLayout>
                  <c:x val="-0.00522801384735455"/>
                  <c:y val="-0.169755919038252"/>
                </c:manualLayout>
              </c:layout>
              <c:numFmt formatCode="General" sourceLinked="1"/>
              <c:spPr>
                <a:noFill/>
                <a:ln>
                  <a:noFill/>
                </a:ln>
                <a:effectLst/>
              </c:spPr>
              <c:txPr>
                <a:bodyPr rot="0" spcFirstLastPara="0" vertOverflow="ellipsis" vert="horz" wrap="square" lIns="38100" tIns="19050" rIns="38100" bIns="19050" anchor="ctr" anchorCtr="1">
                  <a:noAutofit/>
                </a:bodyPr>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15:layout>
                    <c:manualLayout>
                      <c:w val="0.0695790929673675"/>
                      <c:h val="0.100990489471218"/>
                    </c:manualLayout>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'图5--收入、支出结构'!$B$3</c:f>
              <c:strCache>
                <c:ptCount val="1"/>
                <c:pt idx="0">
                  <c:v>一般公共预算拨款收入</c:v>
                </c:pt>
              </c:strCache>
            </c:strRef>
          </c:cat>
          <c:val>
            <c:numRef>
              <c:f>'图5--收入、支出结构'!$C$3</c:f>
              <c:numCache>
                <c:formatCode>#,##0.00</c:formatCode>
                <c:ptCount val="1"/>
                <c:pt idx="0">
                  <c:v>2136.56</c:v>
                </c:pt>
              </c:numCache>
            </c:numRef>
          </c:val>
        </c:ser>
        <c:ser>
          <c:idx val="1"/>
          <c:order val="1"/>
          <c:tx>
            <c:strRef>
              <c:f>'图5--收入、支出结构'!$D$1:$D$2</c:f>
              <c:strCache>
                <c:ptCount val="1"/>
                <c:pt idx="0">
                  <c:v>收入预算 占比</c:v>
                </c:pt>
              </c:strCache>
            </c:strRef>
          </c:tx>
          <c:explosion val="25"/>
          <c:dPt>
            <c:idx val="0"/>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'图5--收入、支出结构'!$B$3</c:f>
              <c:strCache>
                <c:ptCount val="1"/>
                <c:pt idx="0">
                  <c:v>一般公共预算拨款收入</c:v>
                </c:pt>
              </c:strCache>
            </c:strRef>
          </c:cat>
          <c:val>
            <c:numRef>
              <c:f>'图5--收入、支出结构'!$D$3</c:f>
              <c:numCache>
                <c:formatCode>0.00%</c:formatCode>
                <c:ptCount val="1"/>
                <c:pt idx="0">
                  <c:v>1</c:v>
                </c:pt>
              </c:numCache>
            </c:numRef>
          </c:val>
        </c:ser>
        <c:dLbls>
          <c:showLegendKey val="0"/>
          <c:showVal val="0"/>
          <c:showCatName val="0"/>
          <c:showSerName val="0"/>
          <c:showPercent val="1"/>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ln w="6350" cap="flat" cmpd="sng" algn="ctr">
      <a:solidFill>
        <a:schemeClr val="bg1">
          <a:lumMod val="85000"/>
        </a:schemeClr>
      </a:solidFill>
      <a:prstDash val="solid"/>
      <a:round/>
    </a:ln>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rgbClr val="FF0000"/>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Sheet1!$D$22:$D$23</c:f>
              <c:strCache>
                <c:ptCount val="2"/>
                <c:pt idx="0">
                  <c:v>基本支出</c:v>
                </c:pt>
                <c:pt idx="1">
                  <c:v>项目支出</c:v>
                </c:pt>
              </c:strCache>
            </c:strRef>
          </c:cat>
          <c:val>
            <c:numRef>
              <c:f>Sheet1!$E$22:$E$23</c:f>
              <c:numCache>
                <c:formatCode>General</c:formatCode>
                <c:ptCount val="2"/>
                <c:pt idx="0">
                  <c:v>755.23</c:v>
                </c:pt>
                <c:pt idx="1">
                  <c:v>1381.33</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08050A-4706-496B-86C5-C158E62163F4}">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8</Pages>
  <Words>349</Words>
  <Characters>1994</Characters>
  <Lines>16</Lines>
  <Paragraphs>4</Paragraphs>
  <TotalTime>4</TotalTime>
  <ScaleCrop>false</ScaleCrop>
  <LinksUpToDate>false</LinksUpToDate>
  <CharactersWithSpaces>2339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2023-02-14T02:16:00Z</dcterms:created>
  <dc:creator>马 亚文</dc:creator>
  <cp:lastModifiedBy>leo-yao</cp:lastModifiedBy>
  <dcterms:modified xsi:type="dcterms:W3CDTF">2023-02-23T02:33:30Z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38539BC381E346DC91E766A7C325308E</vt:lpwstr>
  </property>
</Properties>
</file>