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北京市自然科学基金委员会办公室</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2023年财政预算信息公开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568" w:firstLineChars="200"/>
        <w:jc w:val="left"/>
        <w:rPr>
          <w:rFonts w:hint="eastAsia"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十三、项目支出绩效目标表</w:t>
      </w:r>
    </w:p>
    <w:p>
      <w:pPr>
        <w:widowControl/>
        <w:jc w:val="left"/>
        <w:rPr>
          <w:rFonts w:ascii="方正小标宋简体" w:eastAsia="方正小标宋简体"/>
          <w:color w:val="000000"/>
          <w:sz w:val="36"/>
          <w:szCs w:val="36"/>
        </w:rPr>
      </w:pPr>
      <w:r>
        <w:rPr>
          <w:rFonts w:ascii="方正小标宋简体" w:eastAsia="方正小标宋简体"/>
          <w:color w:val="000000"/>
          <w:sz w:val="36"/>
          <w:szCs w:val="36"/>
        </w:rPr>
        <w:br w:type="page"/>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2023年度单位预算情况说明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北京市自然科学基金委员会办公室为公益一类事业单位，</w:t>
      </w:r>
      <w:r>
        <w:rPr>
          <w:rFonts w:ascii="仿宋_GB2312" w:eastAsia="仿宋_GB2312"/>
          <w:sz w:val="32"/>
          <w:szCs w:val="32"/>
        </w:rPr>
        <w:t>参照《公务员法》管理，</w:t>
      </w:r>
      <w:r>
        <w:rPr>
          <w:rFonts w:hint="eastAsia" w:ascii="仿宋_GB2312" w:eastAsia="仿宋_GB2312"/>
          <w:sz w:val="32"/>
          <w:szCs w:val="32"/>
        </w:rPr>
        <w:t>机构规格正处级，经费形式财政补助。主要职责是：承担</w:t>
      </w:r>
      <w:r>
        <w:rPr>
          <w:rFonts w:ascii="仿宋_GB2312" w:hAnsi="仿宋" w:eastAsia="仿宋_GB2312"/>
          <w:sz w:val="32"/>
          <w:szCs w:val="32"/>
        </w:rPr>
        <w:t>本市基础研究</w:t>
      </w:r>
      <w:r>
        <w:rPr>
          <w:rFonts w:hint="eastAsia" w:ascii="仿宋_GB2312" w:hAnsi="仿宋" w:eastAsia="仿宋_GB2312"/>
          <w:sz w:val="32"/>
          <w:szCs w:val="32"/>
        </w:rPr>
        <w:t>和</w:t>
      </w:r>
      <w:r>
        <w:rPr>
          <w:rFonts w:ascii="仿宋_GB2312" w:hAnsi="仿宋" w:eastAsia="仿宋_GB2312"/>
          <w:sz w:val="32"/>
          <w:szCs w:val="32"/>
        </w:rPr>
        <w:t>应用研究的</w:t>
      </w:r>
      <w:r>
        <w:rPr>
          <w:rFonts w:hint="eastAsia" w:ascii="仿宋_GB2312" w:hAnsi="仿宋" w:eastAsia="仿宋_GB2312"/>
          <w:sz w:val="32"/>
          <w:szCs w:val="32"/>
        </w:rPr>
        <w:t>政策</w:t>
      </w:r>
      <w:r>
        <w:rPr>
          <w:rFonts w:ascii="仿宋_GB2312" w:hAnsi="仿宋" w:eastAsia="仿宋_GB2312"/>
          <w:sz w:val="32"/>
          <w:szCs w:val="32"/>
        </w:rPr>
        <w:t>拟定</w:t>
      </w:r>
      <w:r>
        <w:rPr>
          <w:rFonts w:hint="eastAsia" w:ascii="仿宋_GB2312" w:hAnsi="仿宋" w:eastAsia="仿宋_GB2312"/>
          <w:sz w:val="32"/>
          <w:szCs w:val="32"/>
        </w:rPr>
        <w:t>和</w:t>
      </w:r>
      <w:r>
        <w:rPr>
          <w:rFonts w:ascii="仿宋_GB2312" w:hAnsi="仿宋" w:eastAsia="仿宋_GB2312"/>
          <w:sz w:val="32"/>
          <w:szCs w:val="32"/>
        </w:rPr>
        <w:t>组织协调，</w:t>
      </w:r>
      <w:r>
        <w:rPr>
          <w:rFonts w:hint="eastAsia" w:ascii="仿宋_GB2312" w:hAnsi="仿宋" w:eastAsia="仿宋_GB2312"/>
          <w:sz w:val="32"/>
          <w:szCs w:val="32"/>
        </w:rPr>
        <w:t>负责</w:t>
      </w:r>
      <w:r>
        <w:rPr>
          <w:rFonts w:ascii="仿宋_GB2312" w:hAnsi="仿宋" w:eastAsia="仿宋_GB2312"/>
          <w:sz w:val="32"/>
          <w:szCs w:val="32"/>
        </w:rPr>
        <w:t>北京市自然科学基金</w:t>
      </w:r>
      <w:r>
        <w:rPr>
          <w:rFonts w:hint="eastAsia" w:ascii="仿宋_GB2312" w:hAnsi="仿宋" w:eastAsia="仿宋_GB2312"/>
          <w:sz w:val="32"/>
          <w:szCs w:val="32"/>
        </w:rPr>
        <w:t>实施</w:t>
      </w:r>
      <w:r>
        <w:rPr>
          <w:rFonts w:ascii="仿宋_GB2312" w:hAnsi="仿宋" w:eastAsia="仿宋_GB2312"/>
          <w:sz w:val="32"/>
          <w:szCs w:val="32"/>
        </w:rPr>
        <w:t>工作，</w:t>
      </w:r>
      <w:r>
        <w:rPr>
          <w:rFonts w:hint="eastAsia" w:ascii="仿宋_GB2312" w:hAnsi="仿宋" w:eastAsia="仿宋_GB2312"/>
          <w:sz w:val="32"/>
          <w:szCs w:val="32"/>
        </w:rPr>
        <w:t>承担研究</w:t>
      </w:r>
      <w:r>
        <w:rPr>
          <w:rFonts w:ascii="仿宋_GB2312" w:hAnsi="仿宋" w:eastAsia="仿宋_GB2312"/>
          <w:sz w:val="32"/>
          <w:szCs w:val="32"/>
        </w:rPr>
        <w:t>成果</w:t>
      </w:r>
      <w:r>
        <w:rPr>
          <w:rFonts w:hint="eastAsia" w:ascii="仿宋_GB2312" w:hAnsi="仿宋" w:eastAsia="仿宋_GB2312"/>
          <w:sz w:val="32"/>
          <w:szCs w:val="32"/>
        </w:rPr>
        <w:t>统计分析</w:t>
      </w:r>
      <w:r>
        <w:rPr>
          <w:rFonts w:ascii="仿宋_GB2312" w:hAnsi="仿宋" w:eastAsia="仿宋_GB2312"/>
          <w:sz w:val="32"/>
          <w:szCs w:val="32"/>
        </w:rPr>
        <w:t>和</w:t>
      </w:r>
      <w:r>
        <w:rPr>
          <w:rFonts w:hint="eastAsia" w:ascii="仿宋_GB2312" w:hAnsi="仿宋" w:eastAsia="仿宋_GB2312"/>
          <w:sz w:val="32"/>
          <w:szCs w:val="32"/>
        </w:rPr>
        <w:t>推广</w:t>
      </w:r>
      <w:r>
        <w:rPr>
          <w:rFonts w:ascii="仿宋_GB2312" w:hAnsi="仿宋" w:eastAsia="仿宋_GB2312"/>
          <w:sz w:val="32"/>
          <w:szCs w:val="32"/>
        </w:rPr>
        <w:t>等工作。</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napToGrid w:val="0"/>
        <w:spacing w:line="520" w:lineRule="exact"/>
        <w:ind w:firstLine="640" w:firstLineChars="200"/>
        <w:rPr>
          <w:rFonts w:ascii="仿宋_GB2312" w:hAnsi="仿宋" w:eastAsia="仿宋_GB2312"/>
          <w:sz w:val="32"/>
          <w:szCs w:val="32"/>
        </w:rPr>
      </w:pPr>
      <w:r>
        <w:rPr>
          <w:rFonts w:hint="eastAsia" w:ascii="仿宋_GB2312" w:eastAsia="仿宋_GB2312"/>
          <w:sz w:val="32"/>
          <w:szCs w:val="32"/>
        </w:rPr>
        <w:t>北京市自然科学基金委员会办公室</w:t>
      </w:r>
      <w:r>
        <w:rPr>
          <w:rFonts w:hint="eastAsia" w:ascii="仿宋_GB2312" w:hAnsi="仿宋" w:eastAsia="仿宋_GB2312"/>
          <w:sz w:val="32"/>
          <w:szCs w:val="32"/>
        </w:rPr>
        <w:t>下设7</w:t>
      </w:r>
      <w:r>
        <w:rPr>
          <w:rFonts w:ascii="仿宋_GB2312" w:hAnsi="仿宋" w:eastAsia="仿宋_GB2312"/>
          <w:sz w:val="32"/>
          <w:szCs w:val="32"/>
        </w:rPr>
        <w:t>个</w:t>
      </w:r>
      <w:r>
        <w:rPr>
          <w:rFonts w:hint="eastAsia" w:ascii="仿宋_GB2312" w:hAnsi="仿宋" w:eastAsia="仿宋_GB2312"/>
          <w:sz w:val="32"/>
          <w:szCs w:val="32"/>
        </w:rPr>
        <w:t>部门，</w:t>
      </w:r>
      <w:r>
        <w:rPr>
          <w:rFonts w:ascii="仿宋_GB2312" w:hAnsi="仿宋" w:eastAsia="仿宋_GB2312"/>
          <w:sz w:val="32"/>
          <w:szCs w:val="32"/>
        </w:rPr>
        <w:t>分别是</w:t>
      </w:r>
      <w:r>
        <w:rPr>
          <w:rFonts w:hint="eastAsia" w:ascii="仿宋_GB2312" w:hAnsi="仿宋" w:eastAsia="仿宋_GB2312"/>
          <w:sz w:val="32"/>
          <w:szCs w:val="32"/>
        </w:rPr>
        <w:t>综合管理部、发展规划部、学科管理部、项目管理部、联合基金管理一部、联合基金管理二部和交叉科学部。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北京市自然科学基金委员会办公室事业编制</w:t>
      </w:r>
      <w:r>
        <w:rPr>
          <w:rFonts w:ascii="仿宋_GB2312" w:eastAsia="仿宋_GB2312"/>
          <w:sz w:val="32"/>
          <w:szCs w:val="32"/>
        </w:rPr>
        <w:t>40</w:t>
      </w:r>
      <w:r>
        <w:rPr>
          <w:rFonts w:hint="eastAsia" w:ascii="仿宋_GB2312" w:eastAsia="仿宋_GB2312"/>
          <w:sz w:val="32"/>
          <w:szCs w:val="32"/>
        </w:rPr>
        <w:t>人，</w:t>
      </w:r>
      <w:r>
        <w:rPr>
          <w:rFonts w:hint="eastAsia" w:ascii="仿宋_GB2312" w:eastAsia="仿宋_GB2312"/>
          <w:color w:val="000000"/>
          <w:sz w:val="32"/>
          <w:szCs w:val="32"/>
        </w:rPr>
        <w:t>实有人数</w:t>
      </w:r>
      <w:r>
        <w:rPr>
          <w:rFonts w:ascii="仿宋_GB2312" w:eastAsia="仿宋_GB2312"/>
          <w:sz w:val="32"/>
          <w:szCs w:val="32"/>
        </w:rPr>
        <w:t>29</w:t>
      </w:r>
      <w:r>
        <w:rPr>
          <w:rFonts w:hint="eastAsia" w:ascii="仿宋_GB2312" w:eastAsia="仿宋_GB2312"/>
          <w:sz w:val="32"/>
          <w:szCs w:val="32"/>
        </w:rPr>
        <w:t>人；</w:t>
      </w:r>
      <w:r>
        <w:rPr>
          <w:rFonts w:hint="eastAsia" w:ascii="仿宋_GB2312" w:eastAsia="仿宋_GB2312"/>
          <w:sz w:val="32"/>
        </w:rPr>
        <w:t>离退休人员5人，其中：离休人员0人，退休人员5人</w:t>
      </w:r>
      <w:r>
        <w:rPr>
          <w:rFonts w:hint="eastAsia" w:ascii="仿宋_GB2312" w:eastAsia="仿宋_GB2312"/>
          <w:color w:val="000000"/>
          <w:sz w:val="32"/>
          <w:szCs w:val="32"/>
        </w:rPr>
        <w:t>。</w:t>
      </w:r>
    </w:p>
    <w:p>
      <w:pPr>
        <w:spacing w:line="560" w:lineRule="exact"/>
        <w:ind w:firstLine="640" w:firstLineChars="200"/>
        <w:rPr>
          <w:rFonts w:ascii="黑体" w:eastAsia="黑体"/>
          <w:color w:val="FF0000"/>
          <w:sz w:val="32"/>
          <w:szCs w:val="32"/>
        </w:rPr>
      </w:pPr>
      <w:r>
        <w:rPr>
          <w:rFonts w:hint="eastAsia" w:ascii="黑体" w:eastAsia="黑体"/>
          <w:color w:val="000000"/>
          <w:sz w:val="32"/>
          <w:szCs w:val="32"/>
        </w:rPr>
        <w:t>二、收入预算情况说明</w:t>
      </w:r>
    </w:p>
    <w:p>
      <w:pPr>
        <w:spacing w:line="560" w:lineRule="exact"/>
        <w:ind w:firstLine="640" w:firstLineChars="200"/>
        <w:rPr>
          <w:rFonts w:ascii="仿宋_GB2312" w:hAnsi="仿宋_GB2312" w:eastAsia="仿宋_GB2312" w:cs="仿宋_GB2312"/>
          <w:sz w:val="32"/>
        </w:rPr>
      </w:pPr>
      <w:r>
        <w:rPr>
          <w:rFonts w:hint="eastAsia" w:ascii="仿宋_GB2312" w:eastAsia="仿宋_GB2312"/>
          <w:sz w:val="32"/>
          <w:szCs w:val="32"/>
        </w:rPr>
        <w:t>2023年度收入预算</w:t>
      </w:r>
      <w:r>
        <w:rPr>
          <w:rFonts w:ascii="仿宋_GB2312" w:eastAsia="仿宋_GB2312"/>
          <w:sz w:val="32"/>
          <w:szCs w:val="32"/>
        </w:rPr>
        <w:t>55,239.68</w:t>
      </w:r>
      <w:r>
        <w:rPr>
          <w:rFonts w:hint="eastAsia" w:ascii="仿宋_GB2312" w:eastAsia="仿宋_GB2312"/>
          <w:sz w:val="32"/>
          <w:szCs w:val="32"/>
        </w:rPr>
        <w:t>万元，比2022年年初预算数</w:t>
      </w:r>
      <w:r>
        <w:rPr>
          <w:rFonts w:ascii="仿宋_GB2312" w:eastAsia="仿宋_GB2312"/>
          <w:sz w:val="32"/>
          <w:szCs w:val="32"/>
        </w:rPr>
        <w:t>37</w:t>
      </w:r>
      <w:r>
        <w:rPr>
          <w:rFonts w:hint="eastAsia" w:ascii="仿宋_GB2312" w:eastAsia="仿宋_GB2312"/>
          <w:sz w:val="32"/>
          <w:szCs w:val="32"/>
        </w:rPr>
        <w:t>,</w:t>
      </w:r>
      <w:r>
        <w:rPr>
          <w:rFonts w:ascii="仿宋_GB2312" w:eastAsia="仿宋_GB2312"/>
          <w:sz w:val="32"/>
          <w:szCs w:val="32"/>
        </w:rPr>
        <w:t>426.69</w:t>
      </w:r>
      <w:r>
        <w:rPr>
          <w:rFonts w:hint="eastAsia" w:ascii="仿宋_GB2312" w:eastAsia="仿宋_GB2312"/>
          <w:sz w:val="32"/>
          <w:szCs w:val="32"/>
        </w:rPr>
        <w:t>万元增加</w:t>
      </w:r>
      <w:r>
        <w:rPr>
          <w:rFonts w:ascii="仿宋_GB2312" w:eastAsia="仿宋_GB2312"/>
          <w:sz w:val="32"/>
          <w:szCs w:val="32"/>
        </w:rPr>
        <w:t>17,812.99</w:t>
      </w:r>
      <w:r>
        <w:rPr>
          <w:rFonts w:hint="eastAsia" w:ascii="仿宋_GB2312" w:eastAsia="仿宋_GB2312"/>
          <w:sz w:val="32"/>
          <w:szCs w:val="32"/>
        </w:rPr>
        <w:t>万元，增长47.59%。主要原因是基础研究多元化投入机制初见成效，市基金联合基金外部投入增加。</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w:t>
      </w:r>
      <w:r>
        <w:rPr>
          <w:rFonts w:ascii="楷体_GB2312" w:eastAsia="楷体_GB2312"/>
          <w:sz w:val="32"/>
          <w:szCs w:val="32"/>
        </w:rPr>
        <w:t>36,075.68</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w:t>
      </w:r>
      <w:r>
        <w:rPr>
          <w:rFonts w:ascii="仿宋_GB2312" w:eastAsia="仿宋_GB2312"/>
          <w:sz w:val="32"/>
          <w:szCs w:val="32"/>
        </w:rPr>
        <w:t>36,075.68</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w:t>
      </w:r>
      <w:r>
        <w:rPr>
          <w:rFonts w:ascii="楷体_GB2312" w:eastAsia="楷体_GB2312"/>
          <w:sz w:val="32"/>
          <w:szCs w:val="32"/>
        </w:rPr>
        <w:t>18,600.00</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w:t>
      </w:r>
      <w:r>
        <w:rPr>
          <w:rFonts w:ascii="仿宋_GB2312" w:eastAsia="仿宋_GB2312"/>
          <w:sz w:val="32"/>
          <w:szCs w:val="32"/>
        </w:rPr>
        <w:t>18,600.00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w:t>
      </w:r>
      <w:r>
        <w:rPr>
          <w:rFonts w:ascii="楷体_GB2312" w:eastAsia="楷体_GB2312"/>
          <w:sz w:val="32"/>
          <w:szCs w:val="32"/>
        </w:rPr>
        <w:t>564.00</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w:t>
      </w:r>
      <w:r>
        <w:rPr>
          <w:rFonts w:ascii="仿宋_GB2312" w:eastAsia="仿宋_GB2312"/>
          <w:sz w:val="32"/>
          <w:szCs w:val="32"/>
        </w:rPr>
        <w:t>564.00</w:t>
      </w:r>
      <w:r>
        <w:rPr>
          <w:rFonts w:hint="eastAsia" w:ascii="仿宋_GB2312" w:eastAsia="仿宋_GB2312"/>
          <w:sz w:val="32"/>
          <w:szCs w:val="32"/>
        </w:rPr>
        <w:t>万元。</w:t>
      </w:r>
    </w:p>
    <w:p>
      <w:pPr>
        <w:pStyle w:val="2"/>
        <w:jc w:val="center"/>
        <w:rPr>
          <w:rFonts w:ascii="仿宋_GB2312" w:eastAsia="仿宋_GB2312"/>
          <w:b w:val="0"/>
          <w:bCs w:val="0"/>
          <w:sz w:val="32"/>
        </w:rPr>
      </w:pPr>
      <w:r>
        <w:rPr>
          <w:rFonts w:hint="eastAsia" w:ascii="仿宋_GB2312" w:eastAsia="仿宋_GB2312"/>
          <w:b w:val="0"/>
          <w:bCs w:val="0"/>
          <w:sz w:val="32"/>
        </w:rPr>
        <w:t>图1：收入预算</w:t>
      </w:r>
    </w:p>
    <w:p>
      <w:pPr>
        <w:pStyle w:val="2"/>
        <w:jc w:val="center"/>
        <w:rPr>
          <w:rFonts w:ascii="仿宋_GB2312" w:eastAsia="仿宋_GB2312"/>
          <w:sz w:val="32"/>
        </w:rPr>
      </w:pPr>
      <w:r>
        <w:rPr>
          <w:rFonts w:hint="eastAsia" w:ascii="仿宋_GB2312" w:eastAsia="仿宋_GB2312"/>
          <w:sz w:val="32"/>
        </w:rPr>
        <w:drawing>
          <wp:inline distT="0" distB="0" distL="114300" distR="114300">
            <wp:extent cx="4494530" cy="2583180"/>
            <wp:effectExtent l="4445" t="5080" r="6350" b="1206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jc w:val="center"/>
      </w:pPr>
    </w:p>
    <w:p>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2023年支出预算</w:t>
      </w:r>
      <w:r>
        <w:rPr>
          <w:rFonts w:ascii="仿宋_GB2312" w:eastAsia="仿宋_GB2312"/>
          <w:sz w:val="32"/>
          <w:szCs w:val="32"/>
        </w:rPr>
        <w:t>55,239.68</w:t>
      </w:r>
      <w:r>
        <w:rPr>
          <w:rFonts w:hint="eastAsia" w:ascii="仿宋_GB2312" w:eastAsia="仿宋_GB2312"/>
          <w:sz w:val="32"/>
          <w:szCs w:val="32"/>
        </w:rPr>
        <w:t>万元，比2022年年初预算数</w:t>
      </w:r>
      <w:r>
        <w:rPr>
          <w:rFonts w:ascii="仿宋_GB2312" w:eastAsia="仿宋_GB2312"/>
          <w:color w:val="000000"/>
          <w:sz w:val="32"/>
          <w:szCs w:val="32"/>
        </w:rPr>
        <w:t>37,426.69</w:t>
      </w:r>
      <w:r>
        <w:rPr>
          <w:rFonts w:hint="eastAsia" w:ascii="仿宋_GB2312" w:eastAsia="仿宋_GB2312"/>
          <w:sz w:val="32"/>
          <w:szCs w:val="32"/>
        </w:rPr>
        <w:t>万元增加1</w:t>
      </w:r>
      <w:r>
        <w:rPr>
          <w:rFonts w:ascii="仿宋_GB2312" w:eastAsia="仿宋_GB2312"/>
          <w:sz w:val="32"/>
          <w:szCs w:val="32"/>
        </w:rPr>
        <w:t>7</w:t>
      </w:r>
      <w:r>
        <w:rPr>
          <w:rFonts w:hint="eastAsia" w:ascii="仿宋_GB2312" w:eastAsia="仿宋_GB2312"/>
          <w:sz w:val="32"/>
          <w:szCs w:val="32"/>
        </w:rPr>
        <w:t>,</w:t>
      </w:r>
      <w:r>
        <w:rPr>
          <w:rFonts w:ascii="仿宋_GB2312" w:eastAsia="仿宋_GB2312"/>
          <w:sz w:val="32"/>
          <w:szCs w:val="32"/>
        </w:rPr>
        <w:t>812.99</w:t>
      </w:r>
      <w:r>
        <w:rPr>
          <w:rFonts w:hint="eastAsia" w:ascii="仿宋_GB2312" w:eastAsia="仿宋_GB2312"/>
          <w:sz w:val="32"/>
          <w:szCs w:val="32"/>
        </w:rPr>
        <w:t>万元，增长47.59%。主要原因是（1）基本支出：人员</w:t>
      </w:r>
      <w:r>
        <w:rPr>
          <w:rFonts w:ascii="仿宋_GB2312" w:eastAsia="仿宋_GB2312"/>
          <w:sz w:val="32"/>
          <w:szCs w:val="32"/>
        </w:rPr>
        <w:t>增加、</w:t>
      </w:r>
      <w:r>
        <w:rPr>
          <w:rFonts w:hint="eastAsia" w:ascii="仿宋_GB2312" w:eastAsia="仿宋_GB2312"/>
          <w:sz w:val="32"/>
          <w:szCs w:val="32"/>
        </w:rPr>
        <w:t>职务职级调整</w:t>
      </w:r>
      <w:r>
        <w:rPr>
          <w:rFonts w:ascii="仿宋_GB2312" w:eastAsia="仿宋_GB2312"/>
          <w:sz w:val="32"/>
          <w:szCs w:val="32"/>
        </w:rPr>
        <w:t>、</w:t>
      </w:r>
      <w:r>
        <w:rPr>
          <w:rFonts w:hint="eastAsia" w:ascii="仿宋_GB2312" w:eastAsia="仿宋_GB2312"/>
          <w:sz w:val="32"/>
          <w:szCs w:val="32"/>
        </w:rPr>
        <w:t>工龄增加</w:t>
      </w:r>
      <w:r>
        <w:rPr>
          <w:rFonts w:ascii="仿宋_GB2312" w:eastAsia="仿宋_GB2312"/>
          <w:sz w:val="32"/>
          <w:szCs w:val="32"/>
        </w:rPr>
        <w:t>、</w:t>
      </w:r>
      <w:r>
        <w:rPr>
          <w:rFonts w:hint="eastAsia" w:ascii="仿宋_GB2312" w:eastAsia="仿宋_GB2312"/>
          <w:sz w:val="32"/>
          <w:szCs w:val="32"/>
        </w:rPr>
        <w:t>社保基数</w:t>
      </w:r>
      <w:r>
        <w:rPr>
          <w:rFonts w:ascii="仿宋_GB2312" w:eastAsia="仿宋_GB2312"/>
          <w:sz w:val="32"/>
          <w:szCs w:val="32"/>
        </w:rPr>
        <w:t>调整等</w:t>
      </w:r>
      <w:r>
        <w:rPr>
          <w:rFonts w:hint="eastAsia" w:ascii="仿宋_GB2312" w:eastAsia="仿宋_GB2312"/>
          <w:sz w:val="32"/>
          <w:szCs w:val="32"/>
        </w:rPr>
        <w:t>导致</w:t>
      </w:r>
      <w:r>
        <w:rPr>
          <w:rFonts w:ascii="仿宋_GB2312" w:eastAsia="仿宋_GB2312"/>
          <w:sz w:val="32"/>
          <w:szCs w:val="32"/>
        </w:rPr>
        <w:t>人员经费</w:t>
      </w:r>
      <w:r>
        <w:rPr>
          <w:rFonts w:hint="eastAsia" w:ascii="仿宋_GB2312" w:eastAsia="仿宋_GB2312"/>
          <w:sz w:val="32"/>
          <w:szCs w:val="32"/>
        </w:rPr>
        <w:t>增长</w:t>
      </w:r>
      <w:r>
        <w:rPr>
          <w:rFonts w:ascii="仿宋_GB2312" w:eastAsia="仿宋_GB2312"/>
          <w:sz w:val="32"/>
          <w:szCs w:val="32"/>
        </w:rPr>
        <w:t>；（</w:t>
      </w:r>
      <w:r>
        <w:rPr>
          <w:rFonts w:hint="eastAsia" w:ascii="仿宋_GB2312" w:eastAsia="仿宋_GB2312"/>
          <w:sz w:val="32"/>
          <w:szCs w:val="32"/>
        </w:rPr>
        <w:t>2</w:t>
      </w:r>
      <w:r>
        <w:rPr>
          <w:rFonts w:ascii="仿宋_GB2312" w:eastAsia="仿宋_GB2312"/>
          <w:sz w:val="32"/>
          <w:szCs w:val="32"/>
        </w:rPr>
        <w:t>）</w:t>
      </w:r>
      <w:r>
        <w:rPr>
          <w:rFonts w:hint="eastAsia" w:ascii="仿宋_GB2312" w:eastAsia="仿宋_GB2312"/>
          <w:sz w:val="32"/>
          <w:szCs w:val="32"/>
        </w:rPr>
        <w:t>项目支出</w:t>
      </w:r>
      <w:r>
        <w:rPr>
          <w:rFonts w:ascii="仿宋_GB2312" w:eastAsia="仿宋_GB2312"/>
          <w:sz w:val="32"/>
          <w:szCs w:val="32"/>
        </w:rPr>
        <w:t>：</w:t>
      </w:r>
      <w:r>
        <w:rPr>
          <w:rFonts w:hint="eastAsia" w:ascii="仿宋_GB2312" w:eastAsia="仿宋_GB2312"/>
          <w:sz w:val="32"/>
          <w:szCs w:val="32"/>
        </w:rPr>
        <w:t>基础研究多元化投入机制初见成效，市基金联合基金外部投入增加。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w:t>
      </w:r>
      <w:r>
        <w:rPr>
          <w:rFonts w:hint="eastAsia" w:ascii="楷体_GB2312" w:hAnsi="楷体_GB2312" w:eastAsia="楷体_GB2312" w:cs="楷体_GB2312"/>
          <w:sz w:val="32"/>
          <w:szCs w:val="32"/>
        </w:rPr>
        <w:t>基本支出。</w:t>
      </w:r>
      <w:r>
        <w:rPr>
          <w:rFonts w:hint="eastAsia" w:ascii="仿宋_GB2312" w:eastAsia="仿宋_GB2312"/>
          <w:sz w:val="32"/>
          <w:szCs w:val="32"/>
        </w:rPr>
        <w:t>基本支出预算</w:t>
      </w:r>
      <w:r>
        <w:rPr>
          <w:rFonts w:ascii="仿宋_GB2312" w:eastAsia="仿宋_GB2312"/>
          <w:sz w:val="32"/>
          <w:szCs w:val="32"/>
        </w:rPr>
        <w:t>1,149.37</w:t>
      </w:r>
      <w:r>
        <w:rPr>
          <w:rFonts w:hint="eastAsia" w:ascii="仿宋_GB2312" w:eastAsia="仿宋_GB2312"/>
          <w:sz w:val="32"/>
          <w:szCs w:val="32"/>
        </w:rPr>
        <w:t>万元，占总支出预算</w:t>
      </w:r>
      <w:r>
        <w:rPr>
          <w:rFonts w:ascii="仿宋_GB2312" w:eastAsia="仿宋_GB2312"/>
          <w:sz w:val="32"/>
          <w:szCs w:val="32"/>
        </w:rPr>
        <w:t>2.08</w:t>
      </w:r>
      <w:r>
        <w:rPr>
          <w:rFonts w:hint="eastAsia" w:ascii="仿宋_GB2312" w:eastAsia="仿宋_GB2312"/>
          <w:sz w:val="32"/>
          <w:szCs w:val="32"/>
        </w:rPr>
        <w:t>%，比2022年年初预算数</w:t>
      </w:r>
      <w:r>
        <w:rPr>
          <w:rFonts w:ascii="仿宋_GB2312" w:eastAsia="仿宋_GB2312"/>
          <w:sz w:val="32"/>
          <w:szCs w:val="32"/>
        </w:rPr>
        <w:t>667.33</w:t>
      </w:r>
      <w:r>
        <w:rPr>
          <w:rFonts w:hint="eastAsia" w:ascii="仿宋_GB2312" w:eastAsia="仿宋_GB2312"/>
          <w:sz w:val="32"/>
          <w:szCs w:val="32"/>
        </w:rPr>
        <w:t>万元增加</w:t>
      </w:r>
      <w:r>
        <w:rPr>
          <w:rFonts w:ascii="仿宋_GB2312" w:eastAsia="仿宋_GB2312"/>
          <w:sz w:val="32"/>
          <w:szCs w:val="32"/>
        </w:rPr>
        <w:t>482.04</w:t>
      </w:r>
      <w:r>
        <w:rPr>
          <w:rFonts w:hint="eastAsia" w:ascii="仿宋_GB2312" w:eastAsia="仿宋_GB2312"/>
          <w:sz w:val="32"/>
          <w:szCs w:val="32"/>
        </w:rPr>
        <w:t>万元，增长72.24%。</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w:t>
      </w:r>
      <w:r>
        <w:rPr>
          <w:rFonts w:ascii="仿宋_GB2312" w:eastAsia="仿宋_GB2312"/>
          <w:sz w:val="32"/>
          <w:szCs w:val="32"/>
        </w:rPr>
        <w:t>54,090.31</w:t>
      </w:r>
      <w:r>
        <w:rPr>
          <w:rFonts w:hint="eastAsia" w:ascii="仿宋_GB2312" w:eastAsia="仿宋_GB2312"/>
          <w:sz w:val="32"/>
          <w:szCs w:val="32"/>
        </w:rPr>
        <w:t>万元，比2022年年初预算数</w:t>
      </w:r>
      <w:r>
        <w:rPr>
          <w:rFonts w:ascii="仿宋_GB2312" w:eastAsia="仿宋_GB2312"/>
          <w:sz w:val="32"/>
          <w:szCs w:val="32"/>
        </w:rPr>
        <w:t>36,759.36</w:t>
      </w:r>
      <w:r>
        <w:rPr>
          <w:rFonts w:hint="eastAsia" w:ascii="仿宋_GB2312" w:eastAsia="仿宋_GB2312"/>
          <w:sz w:val="32"/>
          <w:szCs w:val="32"/>
        </w:rPr>
        <w:t>万元增加1</w:t>
      </w:r>
      <w:r>
        <w:rPr>
          <w:rFonts w:ascii="仿宋_GB2312" w:eastAsia="仿宋_GB2312"/>
          <w:sz w:val="32"/>
          <w:szCs w:val="32"/>
        </w:rPr>
        <w:t>7,330.95</w:t>
      </w:r>
      <w:r>
        <w:rPr>
          <w:rFonts w:hint="eastAsia" w:ascii="仿宋_GB2312" w:eastAsia="仿宋_GB2312"/>
          <w:sz w:val="32"/>
          <w:szCs w:val="32"/>
        </w:rPr>
        <w:t>万元，增长4</w:t>
      </w:r>
      <w:r>
        <w:rPr>
          <w:rFonts w:ascii="仿宋_GB2312" w:eastAsia="仿宋_GB2312"/>
          <w:sz w:val="32"/>
          <w:szCs w:val="32"/>
        </w:rPr>
        <w:t>7.15</w:t>
      </w:r>
      <w:r>
        <w:rPr>
          <w:rFonts w:hint="eastAsia" w:ascii="仿宋_GB2312" w:eastAsia="仿宋_GB2312"/>
          <w:sz w:val="32"/>
          <w:szCs w:val="32"/>
        </w:rPr>
        <w:t>%。其中：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w:t>
      </w:r>
      <w:r>
        <w:rPr>
          <w:rFonts w:ascii="仿宋_GB2312" w:eastAsia="仿宋_GB2312"/>
          <w:sz w:val="32"/>
          <w:szCs w:val="32"/>
        </w:rPr>
        <w:t>0.00</w:t>
      </w:r>
      <w:r>
        <w:rPr>
          <w:rFonts w:hint="eastAsia" w:ascii="仿宋_GB2312" w:eastAsia="仿宋_GB2312"/>
          <w:sz w:val="32"/>
          <w:szCs w:val="32"/>
        </w:rPr>
        <w:t>万元。</w:t>
      </w:r>
      <w:bookmarkStart w:id="0" w:name="_GoBack"/>
      <w:bookmarkEnd w:id="0"/>
    </w:p>
    <w:p>
      <w:pPr>
        <w:pStyle w:val="2"/>
        <w:ind w:firstLine="642"/>
        <w:jc w:val="center"/>
        <w:rPr>
          <w:b w:val="0"/>
          <w:bCs w:val="0"/>
        </w:rPr>
      </w:pPr>
      <w:r>
        <w:rPr>
          <w:rFonts w:hint="eastAsia" w:ascii="仿宋_GB2312" w:eastAsia="仿宋_GB2312"/>
          <w:b w:val="0"/>
          <w:bCs w:val="0"/>
          <w:sz w:val="32"/>
        </w:rPr>
        <w:t>图2：基本支出和项目支出情况</w:t>
      </w:r>
    </w:p>
    <w:p>
      <w:pPr>
        <w:pStyle w:val="2"/>
        <w:jc w:val="center"/>
        <w:rPr>
          <w:rFonts w:ascii="仿宋_GB2312" w:eastAsia="仿宋_GB2312"/>
          <w:sz w:val="32"/>
        </w:rPr>
      </w:pPr>
      <w:r>
        <w:rPr>
          <w:rFonts w:hint="eastAsia" w:ascii="仿宋_GB2312" w:eastAsia="仿宋_GB2312"/>
          <w:sz w:val="32"/>
        </w:rPr>
        <w:drawing>
          <wp:inline distT="0" distB="0" distL="114300" distR="114300">
            <wp:extent cx="4640580" cy="2333625"/>
            <wp:effectExtent l="0" t="0" r="7620" b="952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北京市自然科学基金委员会办公室因公出国（境）费用、公务接待费、公务用车购置和运行维护费开支单位包括1个所属单位。</w:t>
      </w:r>
    </w:p>
    <w:p>
      <w:pPr>
        <w:spacing w:line="560" w:lineRule="exact"/>
        <w:ind w:firstLine="640" w:firstLineChars="200"/>
        <w:rPr>
          <w:rFonts w:ascii="仿宋_GB2312" w:eastAsia="仿宋_GB2312"/>
          <w:sz w:val="32"/>
          <w:szCs w:val="32"/>
        </w:rPr>
      </w:pPr>
      <w:r>
        <w:rPr>
          <w:rFonts w:hint="eastAsia" w:ascii="楷体_GB2312" w:eastAsia="楷体_GB2312"/>
          <w:sz w:val="32"/>
          <w:szCs w:val="32"/>
        </w:rPr>
        <w:t>（二）财政拨款“三公”经费预算情况说明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2023年财政拨款“三公”经费预算</w:t>
      </w:r>
      <w:r>
        <w:rPr>
          <w:rFonts w:ascii="仿宋_GB2312" w:eastAsia="仿宋_GB2312"/>
          <w:sz w:val="32"/>
          <w:szCs w:val="32"/>
        </w:rPr>
        <w:t>1.13</w:t>
      </w:r>
      <w:r>
        <w:rPr>
          <w:rFonts w:hint="eastAsia" w:ascii="仿宋_GB2312" w:eastAsia="仿宋_GB2312"/>
          <w:sz w:val="32"/>
          <w:szCs w:val="32"/>
        </w:rPr>
        <w:t>万元，与2022年财政拨款“三公”经费预算持平。其中：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1.因公出国（境）费用。2023年预算数</w:t>
      </w:r>
      <w:r>
        <w:rPr>
          <w:rFonts w:ascii="仿宋_GB2312" w:eastAsia="仿宋_GB2312"/>
          <w:sz w:val="32"/>
          <w:szCs w:val="32"/>
        </w:rPr>
        <w:t>0.00</w:t>
      </w:r>
      <w:r>
        <w:rPr>
          <w:rFonts w:hint="eastAsia" w:ascii="仿宋_GB2312" w:eastAsia="仿宋_GB2312"/>
          <w:sz w:val="32"/>
          <w:szCs w:val="32"/>
        </w:rPr>
        <w:t>万元，与2022年年初预算数持平。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2.公务接待费。2023年预算数</w:t>
      </w:r>
      <w:r>
        <w:rPr>
          <w:rFonts w:ascii="仿宋_GB2312" w:eastAsia="仿宋_GB2312"/>
          <w:sz w:val="32"/>
          <w:szCs w:val="32"/>
        </w:rPr>
        <w:t>0.00</w:t>
      </w:r>
      <w:r>
        <w:rPr>
          <w:rFonts w:hint="eastAsia" w:ascii="仿宋_GB2312" w:eastAsia="仿宋_GB2312"/>
          <w:sz w:val="32"/>
          <w:szCs w:val="32"/>
        </w:rPr>
        <w:t>万元，与2022年年初预算数持平。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3.公务用车购置和运行维护费。2023年预算数</w:t>
      </w:r>
      <w:r>
        <w:rPr>
          <w:rFonts w:ascii="仿宋_GB2312" w:eastAsia="仿宋_GB2312"/>
          <w:sz w:val="32"/>
          <w:szCs w:val="32"/>
        </w:rPr>
        <w:t>1.13</w:t>
      </w:r>
      <w:r>
        <w:rPr>
          <w:rFonts w:hint="eastAsia" w:ascii="仿宋_GB2312" w:eastAsia="仿宋_GB2312"/>
          <w:sz w:val="32"/>
          <w:szCs w:val="32"/>
        </w:rPr>
        <w:t>万元，其中，公务用车购置费2023年预算数</w:t>
      </w:r>
      <w:r>
        <w:rPr>
          <w:rFonts w:ascii="仿宋_GB2312" w:eastAsia="仿宋_GB2312"/>
          <w:sz w:val="32"/>
          <w:szCs w:val="32"/>
        </w:rPr>
        <w:t>0.00</w:t>
      </w:r>
      <w:r>
        <w:rPr>
          <w:rFonts w:hint="eastAsia" w:ascii="仿宋_GB2312" w:eastAsia="仿宋_GB2312"/>
          <w:sz w:val="32"/>
          <w:szCs w:val="32"/>
        </w:rPr>
        <w:t>万元，与2022年年初预算数持平；公务用车运行维护费2023年预算数</w:t>
      </w:r>
      <w:r>
        <w:rPr>
          <w:rFonts w:ascii="仿宋_GB2312" w:eastAsia="仿宋_GB2312"/>
          <w:sz w:val="32"/>
          <w:szCs w:val="32"/>
        </w:rPr>
        <w:t>1.13</w:t>
      </w:r>
      <w:r>
        <w:rPr>
          <w:rFonts w:hint="eastAsia" w:ascii="仿宋_GB2312" w:eastAsia="仿宋_GB2312"/>
          <w:sz w:val="32"/>
          <w:szCs w:val="32"/>
        </w:rPr>
        <w:t>万元，其中：公务用车燃油</w:t>
      </w:r>
      <w:r>
        <w:rPr>
          <w:rFonts w:ascii="仿宋_GB2312" w:eastAsia="仿宋_GB2312"/>
          <w:sz w:val="32"/>
          <w:szCs w:val="32"/>
        </w:rPr>
        <w:t>0.00</w:t>
      </w:r>
      <w:r>
        <w:rPr>
          <w:rFonts w:hint="eastAsia" w:ascii="仿宋_GB2312" w:eastAsia="仿宋_GB2312"/>
          <w:sz w:val="32"/>
          <w:szCs w:val="32"/>
        </w:rPr>
        <w:t>万元，公务用车维修</w:t>
      </w:r>
      <w:r>
        <w:rPr>
          <w:rFonts w:ascii="仿宋_GB2312" w:eastAsia="仿宋_GB2312"/>
          <w:sz w:val="32"/>
          <w:szCs w:val="32"/>
        </w:rPr>
        <w:t>0.43</w:t>
      </w:r>
      <w:r>
        <w:rPr>
          <w:rFonts w:hint="eastAsia" w:ascii="仿宋_GB2312" w:eastAsia="仿宋_GB2312"/>
          <w:sz w:val="32"/>
          <w:szCs w:val="32"/>
        </w:rPr>
        <w:t>万元，公务用车保险</w:t>
      </w:r>
      <w:r>
        <w:rPr>
          <w:rFonts w:ascii="仿宋_GB2312" w:eastAsia="仿宋_GB2312"/>
          <w:sz w:val="32"/>
          <w:szCs w:val="32"/>
        </w:rPr>
        <w:t>0.42</w:t>
      </w:r>
      <w:r>
        <w:rPr>
          <w:rFonts w:hint="eastAsia" w:ascii="仿宋_GB2312" w:eastAsia="仿宋_GB2312"/>
          <w:sz w:val="32"/>
          <w:szCs w:val="32"/>
        </w:rPr>
        <w:t>万元，其他支出</w:t>
      </w:r>
      <w:r>
        <w:rPr>
          <w:rFonts w:ascii="仿宋_GB2312" w:eastAsia="仿宋_GB2312"/>
          <w:sz w:val="32"/>
          <w:szCs w:val="32"/>
        </w:rPr>
        <w:t>0.28</w:t>
      </w:r>
      <w:r>
        <w:rPr>
          <w:rFonts w:hint="eastAsia" w:ascii="仿宋_GB2312" w:eastAsia="仿宋_GB2312"/>
          <w:sz w:val="32"/>
          <w:szCs w:val="32"/>
        </w:rPr>
        <w:t>万元。公务用车运行维护费2023年预算数与2022年年初预算数持平。</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2023年北京市自然科学基金委员会办公室政府采购预算总额</w:t>
      </w:r>
      <w:r>
        <w:rPr>
          <w:rFonts w:ascii="仿宋_GB2312" w:eastAsia="仿宋_GB2312"/>
          <w:sz w:val="32"/>
          <w:szCs w:val="32"/>
        </w:rPr>
        <w:t>198.87</w:t>
      </w:r>
      <w:r>
        <w:rPr>
          <w:rFonts w:hint="eastAsia" w:ascii="仿宋_GB2312" w:eastAsia="仿宋_GB2312"/>
          <w:sz w:val="32"/>
          <w:szCs w:val="32"/>
        </w:rPr>
        <w:t>万元，其中：政府采购货物预算</w:t>
      </w:r>
      <w:r>
        <w:rPr>
          <w:rFonts w:ascii="仿宋_GB2312" w:eastAsia="仿宋_GB2312"/>
          <w:sz w:val="32"/>
          <w:szCs w:val="32"/>
        </w:rPr>
        <w:t>32.72</w:t>
      </w:r>
      <w:r>
        <w:rPr>
          <w:rFonts w:hint="eastAsia" w:ascii="仿宋_GB2312" w:eastAsia="仿宋_GB2312"/>
          <w:sz w:val="32"/>
          <w:szCs w:val="32"/>
        </w:rPr>
        <w:t>万元，政府采购工程预算</w:t>
      </w:r>
      <w:r>
        <w:rPr>
          <w:rFonts w:ascii="仿宋_GB2312" w:eastAsia="仿宋_GB2312"/>
          <w:sz w:val="32"/>
          <w:szCs w:val="32"/>
        </w:rPr>
        <w:t>0.00</w:t>
      </w:r>
      <w:r>
        <w:rPr>
          <w:rFonts w:hint="eastAsia" w:ascii="仿宋_GB2312" w:eastAsia="仿宋_GB2312"/>
          <w:sz w:val="32"/>
          <w:szCs w:val="32"/>
        </w:rPr>
        <w:t>万元，政府采购服务预算</w:t>
      </w:r>
      <w:r>
        <w:rPr>
          <w:rFonts w:ascii="仿宋_GB2312" w:eastAsia="仿宋_GB2312"/>
          <w:sz w:val="32"/>
          <w:szCs w:val="32"/>
        </w:rPr>
        <w:t>166.15</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本单位不属于政府购买服务购买主体</w:t>
      </w:r>
      <w:r>
        <w:rPr>
          <w:rFonts w:hint="eastAsia" w:ascii="仿宋_GB2312" w:hAnsi="宋体" w:eastAsia="仿宋_GB2312" w:cs="宋体"/>
          <w:kern w:val="0"/>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楷体_GB2312" w:eastAsia="楷体_GB2312"/>
          <w:sz w:val="32"/>
          <w:szCs w:val="32"/>
        </w:rPr>
      </w:pPr>
      <w:r>
        <w:rPr>
          <w:rFonts w:hint="eastAsia" w:ascii="仿宋_GB2312" w:eastAsia="仿宋_GB2312"/>
          <w:sz w:val="32"/>
          <w:szCs w:val="32"/>
        </w:rPr>
        <w:t>2023年北京市自然科学基金委员会办公室</w:t>
      </w:r>
      <w:r>
        <w:rPr>
          <w:rFonts w:ascii="仿宋_GB2312" w:eastAsia="仿宋_GB2312"/>
          <w:sz w:val="32"/>
          <w:szCs w:val="32"/>
        </w:rPr>
        <w:t>1</w:t>
      </w:r>
      <w:r>
        <w:rPr>
          <w:rFonts w:hint="eastAsia" w:ascii="仿宋_GB2312" w:eastAsia="仿宋_GB2312"/>
          <w:sz w:val="32"/>
          <w:szCs w:val="32"/>
        </w:rPr>
        <w:t>家参公管理事业单位的机关运行经费财政拨款预算</w:t>
      </w:r>
      <w:r>
        <w:rPr>
          <w:rFonts w:ascii="仿宋_GB2312" w:eastAsia="仿宋_GB2312"/>
          <w:sz w:val="32"/>
          <w:szCs w:val="32"/>
        </w:rPr>
        <w:t>118.43</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2023年，北京市自然科学基金委员会办公室填报绩效目标的预算项目</w:t>
      </w:r>
      <w:r>
        <w:rPr>
          <w:rFonts w:ascii="仿宋_GB2312" w:eastAsia="仿宋_GB2312"/>
          <w:sz w:val="32"/>
          <w:szCs w:val="32"/>
        </w:rPr>
        <w:t>4</w:t>
      </w:r>
      <w:r>
        <w:rPr>
          <w:rFonts w:hint="eastAsia" w:ascii="仿宋_GB2312" w:eastAsia="仿宋_GB2312"/>
          <w:sz w:val="32"/>
          <w:szCs w:val="32"/>
        </w:rPr>
        <w:t>个，占本单位本年预算项目</w:t>
      </w:r>
      <w:r>
        <w:rPr>
          <w:rFonts w:ascii="仿宋_GB2312" w:eastAsia="仿宋_GB2312"/>
          <w:sz w:val="32"/>
          <w:szCs w:val="32"/>
        </w:rPr>
        <w:t>4</w:t>
      </w:r>
      <w:r>
        <w:rPr>
          <w:rFonts w:hint="eastAsia" w:ascii="仿宋_GB2312" w:eastAsia="仿宋_GB2312"/>
          <w:sz w:val="32"/>
          <w:szCs w:val="32"/>
        </w:rPr>
        <w:t>个的</w:t>
      </w:r>
      <w:r>
        <w:rPr>
          <w:rFonts w:ascii="仿宋_GB2312" w:eastAsia="仿宋_GB2312"/>
          <w:sz w:val="32"/>
          <w:szCs w:val="32"/>
        </w:rPr>
        <w:t>100</w:t>
      </w:r>
      <w:r>
        <w:rPr>
          <w:rFonts w:hint="eastAsia" w:ascii="仿宋_GB2312" w:eastAsia="仿宋_GB2312"/>
          <w:sz w:val="32"/>
          <w:szCs w:val="32"/>
        </w:rPr>
        <w:t>%。填报绩效目标的项目支出预算</w:t>
      </w:r>
      <w:r>
        <w:rPr>
          <w:rFonts w:ascii="仿宋_GB2312" w:eastAsia="仿宋_GB2312"/>
          <w:sz w:val="32"/>
          <w:szCs w:val="32"/>
        </w:rPr>
        <w:t>54,090.31</w:t>
      </w:r>
      <w:r>
        <w:rPr>
          <w:rFonts w:hint="eastAsia" w:ascii="仿宋_GB2312" w:eastAsia="仿宋_GB2312"/>
          <w:sz w:val="32"/>
          <w:szCs w:val="32"/>
        </w:rPr>
        <w:t>万元，占本单位本年项目支出预算的</w:t>
      </w:r>
      <w:r>
        <w:rPr>
          <w:rFonts w:ascii="仿宋_GB2312" w:eastAsia="仿宋_GB2312"/>
          <w:sz w:val="32"/>
          <w:szCs w:val="32"/>
        </w:rPr>
        <w:t>100</w:t>
      </w:r>
      <w:r>
        <w:rPr>
          <w:rFonts w:hint="eastAsia" w:ascii="仿宋_GB2312" w:eastAsia="仿宋_GB2312"/>
          <w:sz w:val="32"/>
          <w:szCs w:val="32"/>
        </w:rPr>
        <w:t>%。</w:t>
      </w:r>
    </w:p>
    <w:p>
      <w:pPr>
        <w:numPr>
          <w:ilvl w:val="0"/>
          <w:numId w:val="1"/>
        </w:numPr>
        <w:spacing w:line="560" w:lineRule="exact"/>
        <w:ind w:firstLine="640" w:firstLineChars="200"/>
        <w:rPr>
          <w:rFonts w:ascii="楷体_GB2312" w:eastAsia="楷体_GB2312"/>
          <w:sz w:val="32"/>
          <w:szCs w:val="32"/>
        </w:rPr>
      </w:pPr>
      <w:r>
        <w:rPr>
          <w:rFonts w:hint="eastAsia" w:ascii="楷体_GB2312" w:eastAsia="楷体_GB2312"/>
          <w:sz w:val="32"/>
          <w:szCs w:val="32"/>
        </w:rPr>
        <w:t>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本单位2023年无重点行政事业性收费。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本单位2023</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sz w:val="32"/>
          <w:szCs w:val="32"/>
        </w:rPr>
      </w:pPr>
      <w:r>
        <w:rPr>
          <w:rFonts w:hint="eastAsia" w:ascii="仿宋_GB2312" w:eastAsia="仿宋_GB2312"/>
          <w:color w:val="000000"/>
          <w:sz w:val="32"/>
          <w:szCs w:val="32"/>
        </w:rPr>
        <w:t>截至202</w:t>
      </w:r>
      <w:r>
        <w:rPr>
          <w:rFonts w:ascii="仿宋_GB2312" w:eastAsia="仿宋_GB2312"/>
          <w:color w:val="000000"/>
          <w:sz w:val="32"/>
          <w:szCs w:val="32"/>
        </w:rPr>
        <w:t>2</w:t>
      </w:r>
      <w:r>
        <w:rPr>
          <w:rFonts w:hint="eastAsia" w:ascii="仿宋_GB2312" w:eastAsia="仿宋_GB2312"/>
          <w:color w:val="000000"/>
          <w:sz w:val="32"/>
          <w:szCs w:val="32"/>
        </w:rPr>
        <w:t>年底，</w:t>
      </w:r>
      <w:r>
        <w:rPr>
          <w:rFonts w:hint="eastAsia" w:ascii="仿宋_GB2312" w:eastAsia="仿宋_GB2312"/>
          <w:sz w:val="32"/>
          <w:szCs w:val="32"/>
        </w:rPr>
        <w:t>北京市自然科学基金委员会办公室</w:t>
      </w:r>
      <w:r>
        <w:rPr>
          <w:rFonts w:hint="eastAsia" w:ascii="仿宋_GB2312" w:eastAsia="仿宋_GB2312"/>
          <w:color w:val="000000"/>
          <w:sz w:val="32"/>
          <w:szCs w:val="32"/>
        </w:rPr>
        <w:t>共有车辆</w:t>
      </w:r>
      <w:r>
        <w:rPr>
          <w:rFonts w:ascii="仿宋_GB2312" w:eastAsia="仿宋_GB2312"/>
          <w:color w:val="000000"/>
          <w:sz w:val="32"/>
          <w:szCs w:val="32"/>
        </w:rPr>
        <w:t>1</w:t>
      </w:r>
      <w:r>
        <w:rPr>
          <w:rFonts w:hint="eastAsia" w:ascii="仿宋_GB2312" w:eastAsia="仿宋_GB2312"/>
          <w:color w:val="000000"/>
          <w:sz w:val="32"/>
          <w:szCs w:val="32"/>
        </w:rPr>
        <w:t>台，共计</w:t>
      </w:r>
      <w:r>
        <w:rPr>
          <w:rFonts w:ascii="仿宋_GB2312" w:eastAsia="仿宋_GB2312"/>
          <w:color w:val="000000"/>
          <w:sz w:val="32"/>
          <w:szCs w:val="32"/>
        </w:rPr>
        <w:t>17.90</w:t>
      </w:r>
      <w:r>
        <w:rPr>
          <w:rFonts w:hint="eastAsia" w:ascii="仿宋_GB2312" w:eastAsia="仿宋_GB2312"/>
          <w:color w:val="000000"/>
          <w:sz w:val="32"/>
          <w:szCs w:val="32"/>
        </w:rPr>
        <w:t>万元；单位价值50万元以上的通用设备</w:t>
      </w:r>
      <w:r>
        <w:rPr>
          <w:rFonts w:ascii="仿宋_GB2312" w:eastAsia="仿宋_GB2312"/>
          <w:color w:val="000000"/>
          <w:sz w:val="32"/>
          <w:szCs w:val="32"/>
        </w:rPr>
        <w:t>2</w:t>
      </w:r>
      <w:r>
        <w:rPr>
          <w:rFonts w:hint="eastAsia" w:ascii="仿宋_GB2312" w:eastAsia="仿宋_GB2312"/>
          <w:color w:val="000000"/>
          <w:sz w:val="32"/>
          <w:szCs w:val="32"/>
        </w:rPr>
        <w:t>台（套），共计</w:t>
      </w:r>
      <w:r>
        <w:rPr>
          <w:rFonts w:ascii="仿宋_GB2312" w:eastAsia="仿宋_GB2312"/>
          <w:color w:val="000000"/>
          <w:sz w:val="32"/>
          <w:szCs w:val="32"/>
        </w:rPr>
        <w:t>313.51</w:t>
      </w:r>
      <w:r>
        <w:rPr>
          <w:rFonts w:hint="eastAsia" w:ascii="仿宋_GB2312" w:eastAsia="仿宋_GB2312"/>
          <w:color w:val="000000"/>
          <w:sz w:val="32"/>
          <w:szCs w:val="32"/>
        </w:rPr>
        <w:t>万元，单位价值100万元以上的专用设备</w:t>
      </w:r>
      <w:r>
        <w:rPr>
          <w:rFonts w:ascii="仿宋_GB2312" w:eastAsia="仿宋_GB2312"/>
          <w:color w:val="000000"/>
          <w:sz w:val="32"/>
          <w:szCs w:val="32"/>
        </w:rPr>
        <w:t>0</w:t>
      </w:r>
      <w:r>
        <w:rPr>
          <w:rFonts w:hint="eastAsia" w:ascii="仿宋_GB2312" w:eastAsia="仿宋_GB2312"/>
          <w:color w:val="000000"/>
          <w:sz w:val="32"/>
          <w:szCs w:val="32"/>
        </w:rPr>
        <w:t>台（</w:t>
      </w:r>
      <w:r>
        <w:rPr>
          <w:rFonts w:hint="eastAsia" w:ascii="仿宋_GB2312" w:eastAsia="仿宋_GB2312"/>
          <w:sz w:val="32"/>
          <w:szCs w:val="32"/>
        </w:rPr>
        <w:t>套）、共计</w:t>
      </w:r>
      <w:r>
        <w:rPr>
          <w:rFonts w:ascii="仿宋_GB2312" w:eastAsia="仿宋_GB2312"/>
          <w:sz w:val="32"/>
          <w:szCs w:val="32"/>
        </w:rPr>
        <w:t>0.00</w:t>
      </w:r>
      <w:r>
        <w:rPr>
          <w:rFonts w:hint="eastAsia" w:ascii="仿宋_GB2312" w:eastAsia="仿宋_GB2312"/>
          <w:sz w:val="32"/>
          <w:szCs w:val="32"/>
        </w:rPr>
        <w:t>万元。</w:t>
      </w:r>
    </w:p>
    <w:p>
      <w:pPr>
        <w:numPr>
          <w:ilvl w:val="0"/>
          <w:numId w:val="2"/>
        </w:numPr>
        <w:spacing w:line="560" w:lineRule="exact"/>
        <w:ind w:firstLine="640" w:firstLineChars="200"/>
        <w:rPr>
          <w:rFonts w:ascii="仿宋_GB2312" w:eastAsia="仿宋_GB2312"/>
          <w:sz w:val="32"/>
          <w:szCs w:val="32"/>
        </w:rPr>
      </w:pPr>
      <w:r>
        <w:rPr>
          <w:rFonts w:hint="eastAsia" w:ascii="黑体" w:eastAsia="黑体"/>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基本支出：指为保障机构正常运转、完成日常工作任务而发生的人员支出和公用支</w:t>
      </w:r>
      <w:r>
        <w:rPr>
          <w:rFonts w:hint="eastAsia" w:ascii="仿宋_GB2312" w:eastAsia="仿宋_GB2312"/>
          <w:color w:val="000000"/>
          <w:sz w:val="32"/>
          <w:szCs w:val="32"/>
        </w:rPr>
        <w:t>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ascii="方正小标宋简体" w:eastAsia="方正小标宋简体"/>
          <w:color w:val="000000"/>
          <w:sz w:val="36"/>
          <w:szCs w:val="36"/>
        </w:rPr>
      </w:pPr>
    </w:p>
    <w:p>
      <w:pPr>
        <w:pStyle w:val="2"/>
        <w:rPr>
          <w:rFonts w:ascii="方正小标宋简体" w:eastAsia="方正小标宋简体"/>
          <w:color w:val="000000"/>
          <w:sz w:val="36"/>
          <w:szCs w:val="36"/>
        </w:rPr>
      </w:pPr>
    </w:p>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附件：北京市</w:t>
      </w:r>
      <w:r>
        <w:rPr>
          <w:rFonts w:ascii="仿宋_GB2312" w:eastAsia="仿宋_GB2312"/>
          <w:color w:val="000000"/>
          <w:sz w:val="32"/>
          <w:szCs w:val="32"/>
        </w:rPr>
        <w:t>自然科学基金委员会办公室</w:t>
      </w:r>
      <w:r>
        <w:rPr>
          <w:rFonts w:hint="eastAsia" w:ascii="仿宋_GB2312" w:eastAsia="仿宋_GB2312"/>
          <w:color w:val="000000"/>
          <w:sz w:val="32"/>
          <w:szCs w:val="32"/>
        </w:rPr>
        <w:t>2023年度单位预算报表</w:t>
      </w:r>
    </w:p>
    <w:sectPr>
      <w:footerReference r:id="rId3" w:type="default"/>
      <w:pgSz w:w="11906" w:h="16838"/>
      <w:pgMar w:top="1327" w:right="1800" w:bottom="1327"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Droid Sans">
    <w:altName w:val="微软雅黑"/>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Microsoft YaHei UI">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84hJ9EAAAADAQAADwAAAAAAAAABACAAAAAiAAAAZHJz&#10;L2Rvd25yZXYueG1sUEsBAhQAFAAAAAgAh07iQC5LWKwLAgAAAgQAAA4AAAAAAAAAAQAgAAAAIAEA&#10;AGRycy9lMm9Eb2MueG1sUEsFBgAAAAAGAAYAWQEAAJ0FAAAAAA==&#10;">
              <v:fill on="f" focussize="0,0"/>
              <v:stroke on="f"/>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txbxContent>
              </v:textbox>
            </v:shape>
          </w:pict>
        </mc:Fallback>
      </mc:AlternateContent>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51F72E"/>
    <w:multiLevelType w:val="singleLevel"/>
    <w:tmpl w:val="6551F72E"/>
    <w:lvl w:ilvl="0" w:tentative="0">
      <w:start w:val="6"/>
      <w:numFmt w:val="chineseCounting"/>
      <w:suff w:val="nothing"/>
      <w:lvlText w:val="%1、"/>
      <w:lvlJc w:val="left"/>
      <w:rPr>
        <w:rFonts w:hint="eastAsia" w:ascii="黑体" w:hAnsi="黑体" w:eastAsia="黑体" w:cs="黑体"/>
        <w:sz w:val="32"/>
        <w:szCs w:val="32"/>
      </w:rPr>
    </w:lvl>
  </w:abstractNum>
  <w:abstractNum w:abstractNumId="1">
    <w:nsid w:val="6E5B2E40"/>
    <w:multiLevelType w:val="singleLevel"/>
    <w:tmpl w:val="6E5B2E40"/>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xZTlhZWY5YzcxZDcyMjNlNTA2YTA3MGU5NWIyMDYifQ=="/>
  </w:docVars>
  <w:rsids>
    <w:rsidRoot w:val="00DA3E64"/>
    <w:rsid w:val="00041FDB"/>
    <w:rsid w:val="0017069F"/>
    <w:rsid w:val="001F075F"/>
    <w:rsid w:val="002C528D"/>
    <w:rsid w:val="002F2649"/>
    <w:rsid w:val="0037333A"/>
    <w:rsid w:val="004059F3"/>
    <w:rsid w:val="004062C2"/>
    <w:rsid w:val="004230FC"/>
    <w:rsid w:val="004B0821"/>
    <w:rsid w:val="004B3FC3"/>
    <w:rsid w:val="004D1B49"/>
    <w:rsid w:val="00515E06"/>
    <w:rsid w:val="00572868"/>
    <w:rsid w:val="005729D3"/>
    <w:rsid w:val="00584FBF"/>
    <w:rsid w:val="00587294"/>
    <w:rsid w:val="005C3AFB"/>
    <w:rsid w:val="005D0398"/>
    <w:rsid w:val="005D7867"/>
    <w:rsid w:val="005F7946"/>
    <w:rsid w:val="006624D1"/>
    <w:rsid w:val="0074734E"/>
    <w:rsid w:val="007747B9"/>
    <w:rsid w:val="00792C9B"/>
    <w:rsid w:val="008A0584"/>
    <w:rsid w:val="0093042D"/>
    <w:rsid w:val="009903B4"/>
    <w:rsid w:val="009A7A84"/>
    <w:rsid w:val="009D6C86"/>
    <w:rsid w:val="00AA0B9A"/>
    <w:rsid w:val="00B63704"/>
    <w:rsid w:val="00B77439"/>
    <w:rsid w:val="00BF4454"/>
    <w:rsid w:val="00C079A0"/>
    <w:rsid w:val="00C338E9"/>
    <w:rsid w:val="00CB573B"/>
    <w:rsid w:val="00DA3E64"/>
    <w:rsid w:val="00DA3FD6"/>
    <w:rsid w:val="00DD16A1"/>
    <w:rsid w:val="00E7481D"/>
    <w:rsid w:val="00ED3CE1"/>
    <w:rsid w:val="00EE7B4C"/>
    <w:rsid w:val="00F528D5"/>
    <w:rsid w:val="017A19A1"/>
    <w:rsid w:val="017C2CB3"/>
    <w:rsid w:val="01A00569"/>
    <w:rsid w:val="042A5AF7"/>
    <w:rsid w:val="04447FB3"/>
    <w:rsid w:val="06EA15F1"/>
    <w:rsid w:val="07CD02C0"/>
    <w:rsid w:val="0B19782D"/>
    <w:rsid w:val="0C2C5114"/>
    <w:rsid w:val="0C7849F9"/>
    <w:rsid w:val="0D3A63F7"/>
    <w:rsid w:val="0E146C48"/>
    <w:rsid w:val="0FE3246F"/>
    <w:rsid w:val="10F36FE9"/>
    <w:rsid w:val="14144B0C"/>
    <w:rsid w:val="16EB30C7"/>
    <w:rsid w:val="16F629B9"/>
    <w:rsid w:val="17122D53"/>
    <w:rsid w:val="1731136C"/>
    <w:rsid w:val="19AF6DCC"/>
    <w:rsid w:val="1B8970FB"/>
    <w:rsid w:val="1BC25DF0"/>
    <w:rsid w:val="1E6C3F37"/>
    <w:rsid w:val="1EE52218"/>
    <w:rsid w:val="1F5C537D"/>
    <w:rsid w:val="1F6E507C"/>
    <w:rsid w:val="2074045F"/>
    <w:rsid w:val="234D2B0B"/>
    <w:rsid w:val="252C6FF6"/>
    <w:rsid w:val="25D06EE3"/>
    <w:rsid w:val="27332718"/>
    <w:rsid w:val="27BE17EE"/>
    <w:rsid w:val="28DF395A"/>
    <w:rsid w:val="2907142C"/>
    <w:rsid w:val="29A97D58"/>
    <w:rsid w:val="2A252715"/>
    <w:rsid w:val="2A3654DB"/>
    <w:rsid w:val="2A4C2E6E"/>
    <w:rsid w:val="2B024961"/>
    <w:rsid w:val="2BD27A1E"/>
    <w:rsid w:val="2FD86E9B"/>
    <w:rsid w:val="307153DD"/>
    <w:rsid w:val="31401FA3"/>
    <w:rsid w:val="32025CA4"/>
    <w:rsid w:val="36154711"/>
    <w:rsid w:val="36CA5C2C"/>
    <w:rsid w:val="37582A72"/>
    <w:rsid w:val="3AF818B3"/>
    <w:rsid w:val="3B750EE5"/>
    <w:rsid w:val="3C587DD4"/>
    <w:rsid w:val="3E735F98"/>
    <w:rsid w:val="42FB6058"/>
    <w:rsid w:val="43364990"/>
    <w:rsid w:val="478D08F6"/>
    <w:rsid w:val="49077CB8"/>
    <w:rsid w:val="498D4675"/>
    <w:rsid w:val="4C740363"/>
    <w:rsid w:val="4DA66A4D"/>
    <w:rsid w:val="4E367CEF"/>
    <w:rsid w:val="4EE01C53"/>
    <w:rsid w:val="4F24642B"/>
    <w:rsid w:val="4F383E2F"/>
    <w:rsid w:val="4F840831"/>
    <w:rsid w:val="50FB7F6E"/>
    <w:rsid w:val="5209265C"/>
    <w:rsid w:val="55926977"/>
    <w:rsid w:val="57BD5228"/>
    <w:rsid w:val="583D1DD1"/>
    <w:rsid w:val="58971F5B"/>
    <w:rsid w:val="59B92E21"/>
    <w:rsid w:val="5A162CF0"/>
    <w:rsid w:val="5A752689"/>
    <w:rsid w:val="5BE81245"/>
    <w:rsid w:val="5E03083C"/>
    <w:rsid w:val="5E224753"/>
    <w:rsid w:val="5F07071D"/>
    <w:rsid w:val="60E66B0E"/>
    <w:rsid w:val="61611A47"/>
    <w:rsid w:val="61EA10F7"/>
    <w:rsid w:val="62422353"/>
    <w:rsid w:val="637235DB"/>
    <w:rsid w:val="63BC79DF"/>
    <w:rsid w:val="644C132A"/>
    <w:rsid w:val="65406257"/>
    <w:rsid w:val="66AF572C"/>
    <w:rsid w:val="67546BF3"/>
    <w:rsid w:val="68B90674"/>
    <w:rsid w:val="69004F74"/>
    <w:rsid w:val="6C422349"/>
    <w:rsid w:val="6F50511D"/>
    <w:rsid w:val="7007308C"/>
    <w:rsid w:val="70EF1F9B"/>
    <w:rsid w:val="718B3E8F"/>
    <w:rsid w:val="71A87F57"/>
    <w:rsid w:val="72D93BA9"/>
    <w:rsid w:val="72FB2E21"/>
    <w:rsid w:val="75112A0C"/>
    <w:rsid w:val="78A74CC3"/>
    <w:rsid w:val="7D0B0AC6"/>
    <w:rsid w:val="7E183749"/>
    <w:rsid w:val="7E4A0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3"/>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unhideWhenUsed/>
    <w:qFormat/>
    <w:uiPriority w:val="99"/>
    <w:pPr>
      <w:jc w:val="left"/>
    </w:pPr>
  </w:style>
  <w:style w:type="paragraph" w:styleId="4">
    <w:name w:val="Balloon Text"/>
    <w:basedOn w:val="1"/>
    <w:link w:val="19"/>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6"/>
    <w:qFormat/>
    <w:uiPriority w:val="99"/>
    <w:rPr>
      <w:sz w:val="18"/>
      <w:szCs w:val="18"/>
    </w:rPr>
  </w:style>
  <w:style w:type="character" w:customStyle="1" w:styleId="12">
    <w:name w:val="页脚 字符"/>
    <w:basedOn w:val="9"/>
    <w:link w:val="5"/>
    <w:qFormat/>
    <w:uiPriority w:val="99"/>
    <w:rPr>
      <w:sz w:val="18"/>
      <w:szCs w:val="18"/>
    </w:rPr>
  </w:style>
  <w:style w:type="character" w:customStyle="1" w:styleId="13">
    <w:name w:val="标题 2 字符"/>
    <w:basedOn w:val="9"/>
    <w:link w:val="2"/>
    <w:qFormat/>
    <w:uiPriority w:val="0"/>
    <w:rPr>
      <w:rFonts w:ascii="Cambria" w:hAnsi="Cambria" w:eastAsia="黑体" w:cs="Times New Roman"/>
      <w:b/>
      <w:bCs/>
      <w:kern w:val="0"/>
      <w:sz w:val="36"/>
      <w:szCs w:val="32"/>
    </w:rPr>
  </w:style>
  <w:style w:type="paragraph" w:customStyle="1" w:styleId="14">
    <w:name w:val="修订1"/>
    <w:hidden/>
    <w:semiHidden/>
    <w:qFormat/>
    <w:uiPriority w:val="99"/>
    <w:rPr>
      <w:rFonts w:ascii="Times New Roman" w:hAnsi="Times New Roman" w:eastAsia="宋体" w:cs="Droid Sans"/>
      <w:kern w:val="2"/>
      <w:sz w:val="21"/>
      <w:szCs w:val="24"/>
      <w:lang w:val="en-US" w:eastAsia="zh-CN" w:bidi="ar-SA"/>
    </w:rPr>
  </w:style>
  <w:style w:type="character" w:customStyle="1" w:styleId="15">
    <w:name w:val="批注文字 字符"/>
    <w:basedOn w:val="9"/>
    <w:link w:val="3"/>
    <w:qFormat/>
    <w:uiPriority w:val="99"/>
    <w:rPr>
      <w:rFonts w:ascii="Times New Roman" w:hAnsi="Times New Roman" w:eastAsia="宋体" w:cs="Droid Sans"/>
      <w:szCs w:val="24"/>
    </w:rPr>
  </w:style>
  <w:style w:type="character" w:customStyle="1" w:styleId="16">
    <w:name w:val="批注主题 字符"/>
    <w:basedOn w:val="15"/>
    <w:link w:val="7"/>
    <w:semiHidden/>
    <w:qFormat/>
    <w:uiPriority w:val="99"/>
    <w:rPr>
      <w:rFonts w:ascii="Times New Roman" w:hAnsi="Times New Roman" w:eastAsia="宋体" w:cs="Droid Sans"/>
      <w:b/>
      <w:bCs/>
      <w:szCs w:val="24"/>
    </w:rPr>
  </w:style>
  <w:style w:type="paragraph" w:customStyle="1" w:styleId="17">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8">
    <w:name w:val="cf01"/>
    <w:basedOn w:val="9"/>
    <w:qFormat/>
    <w:uiPriority w:val="0"/>
    <w:rPr>
      <w:rFonts w:hint="eastAsia" w:ascii="Microsoft YaHei UI" w:hAnsi="Microsoft YaHei UI" w:eastAsia="Microsoft YaHei UI"/>
      <w:sz w:val="18"/>
      <w:szCs w:val="18"/>
    </w:rPr>
  </w:style>
  <w:style w:type="character" w:customStyle="1" w:styleId="19">
    <w:name w:val="批注框文本 字符"/>
    <w:basedOn w:val="9"/>
    <w:link w:val="4"/>
    <w:semiHidden/>
    <w:qFormat/>
    <w:uiPriority w:val="99"/>
    <w:rPr>
      <w:rFonts w:ascii="Times New Roman" w:hAnsi="Times New Roman" w:eastAsia="宋体" w:cs="Droid Sans"/>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收入预算</a:t>
            </a:r>
            <a:endParaRPr lang="zh-CN" altLang="en-US"/>
          </a:p>
        </c:rich>
      </c:tx>
      <c:layout/>
      <c:overlay val="0"/>
      <c:spPr>
        <a:noFill/>
        <a:ln>
          <a:noFill/>
        </a:ln>
        <a:effectLst/>
      </c:spPr>
    </c:title>
    <c:autoTitleDeleted val="0"/>
    <c:plotArea>
      <c:layout/>
      <c:pieChart>
        <c:varyColors val="1"/>
        <c:ser>
          <c:idx val="0"/>
          <c:order val="0"/>
          <c:tx>
            <c:strRef>
              <c:f>Sheet1!$B$1</c:f>
              <c:strCache>
                <c:ptCount val="1"/>
                <c:pt idx="0">
                  <c:v>收入预算</c:v>
                </c:pt>
              </c:strCache>
            </c:strRef>
          </c:tx>
          <c:spPr>
            <a:solidFill>
              <a:schemeClr val="accent1">
                <a:lumMod val="75000"/>
              </a:schemeClr>
            </a:solidFill>
          </c:spPr>
          <c:explosion val="0"/>
          <c:dPt>
            <c:idx val="0"/>
            <c:bubble3D val="0"/>
            <c:spPr>
              <a:solidFill>
                <a:schemeClr val="accent1">
                  <a:lumMod val="75000"/>
                </a:schemeClr>
              </a:solidFill>
              <a:ln w="19050">
                <a:solidFill>
                  <a:schemeClr val="lt1"/>
                </a:solidFill>
              </a:ln>
              <a:effectLst/>
            </c:spPr>
          </c:dPt>
          <c:dPt>
            <c:idx val="1"/>
            <c:bubble3D val="0"/>
            <c:spPr>
              <a:solidFill>
                <a:srgbClr val="00B0F0"/>
              </a:solidFill>
              <a:ln w="19050">
                <a:solidFill>
                  <a:schemeClr val="lt1"/>
                </a:solidFill>
              </a:ln>
              <a:effectLst/>
            </c:spPr>
          </c:dPt>
          <c:dPt>
            <c:idx val="2"/>
            <c:bubble3D val="0"/>
            <c:spPr>
              <a:solidFill>
                <a:srgbClr val="7030A0"/>
              </a:solidFill>
              <a:ln w="19050">
                <a:solidFill>
                  <a:schemeClr val="lt1"/>
                </a:solidFill>
              </a:ln>
              <a:effectLst/>
            </c:spPr>
          </c:dPt>
          <c:dLbls>
            <c:dLbl>
              <c:idx val="2"/>
              <c:layout>
                <c:manualLayout>
                  <c:x val="0.00393760587838649"/>
                  <c:y val="0.13158139228733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200" b="1" i="0" u="none" strike="noStrike" kern="1200" baseline="0">
                    <a:solidFill>
                      <a:sysClr val="windowText" lastClr="000000"/>
                    </a:solidFill>
                    <a:latin typeface="黑体" panose="02010609060101010101" charset="-122"/>
                    <a:ea typeface="黑体" panose="02010609060101010101" charset="-122"/>
                    <a:cs typeface="黑体" panose="02010609060101010101" charset="-122"/>
                    <a:sym typeface="黑体" panose="02010609060101010101" charset="-122"/>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一般公共预算拨款收入</c:v>
                </c:pt>
                <c:pt idx="1">
                  <c:v>事业收入</c:v>
                </c:pt>
                <c:pt idx="2">
                  <c:v>上年结转结余</c:v>
                </c:pt>
              </c:strCache>
            </c:strRef>
          </c:cat>
          <c:val>
            <c:numRef>
              <c:f>Sheet1!$B$2:$B$4</c:f>
              <c:numCache>
                <c:formatCode>#,##0.00</c:formatCode>
                <c:ptCount val="3"/>
                <c:pt idx="0">
                  <c:v>36075.68</c:v>
                </c:pt>
                <c:pt idx="1">
                  <c:v>18600</c:v>
                </c:pt>
                <c:pt idx="2" c:formatCode="General">
                  <c:v>564</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黑体" panose="02010609060101010101" charset="-122"/>
                <a:ea typeface="黑体" panose="02010609060101010101" charset="-122"/>
                <a:cs typeface="黑体" panose="02010609060101010101" charset="-122"/>
                <a:sym typeface="黑体" panose="02010609060101010101" charset="-122"/>
              </a:defRPr>
            </a:pPr>
          </a:p>
        </c:txPr>
      </c:legendEntry>
      <c:legendEntry>
        <c:idx val="1"/>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黑体" panose="02010609060101010101" charset="-122"/>
                <a:ea typeface="黑体" panose="02010609060101010101" charset="-122"/>
                <a:cs typeface="黑体" panose="02010609060101010101" charset="-122"/>
                <a:sym typeface="黑体" panose="02010609060101010101" charset="-122"/>
              </a:defRPr>
            </a:pPr>
          </a:p>
        </c:txPr>
      </c:legendEntry>
      <c:legendEntry>
        <c:idx val="2"/>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黑体" panose="02010609060101010101" charset="-122"/>
                <a:ea typeface="黑体" panose="02010609060101010101" charset="-122"/>
                <a:cs typeface="黑体" panose="02010609060101010101" charset="-122"/>
                <a:sym typeface="黑体" panose="02010609060101010101" charset="-122"/>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黑体" panose="02010609060101010101" charset="-122"/>
              <a:ea typeface="黑体" panose="02010609060101010101" charset="-122"/>
              <a:cs typeface="黑体" panose="02010609060101010101" charset="-122"/>
              <a:sym typeface="黑体" panose="02010609060101010101" charset="-122"/>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91324575807334"/>
          <c:y val="0.13578231292517"/>
          <c:w val="0.365353037766831"/>
          <c:h val="0.726530612244898"/>
        </c:manualLayout>
      </c:layout>
      <c:pieChart>
        <c:varyColors val="1"/>
        <c:ser>
          <c:idx val="0"/>
          <c:order val="0"/>
          <c:tx>
            <c:strRef>
              <c:f>Sheet1!$B$1</c:f>
              <c:strCache>
                <c:ptCount val="1"/>
                <c:pt idx="0">
                  <c:v>金额</c:v>
                </c:pt>
              </c:strCache>
            </c:strRef>
          </c:tx>
          <c:spPr>
            <a:solidFill>
              <a:schemeClr val="accent1"/>
            </a:solidFill>
          </c:spPr>
          <c:explosion val="0"/>
          <c:dPt>
            <c:idx val="0"/>
            <c:bubble3D val="0"/>
            <c:spPr>
              <a:solidFill>
                <a:schemeClr val="accent1">
                  <a:lumMod val="75000"/>
                </a:schemeClr>
              </a:solidFill>
              <a:ln w="19050">
                <a:solidFill>
                  <a:schemeClr val="lt1"/>
                </a:solidFill>
              </a:ln>
              <a:effectLst/>
            </c:spPr>
          </c:dPt>
          <c:dPt>
            <c:idx val="1"/>
            <c:bubble3D val="0"/>
            <c:spPr>
              <a:solidFill>
                <a:srgbClr val="C00000"/>
              </a:solidFill>
              <a:ln w="19050">
                <a:solidFill>
                  <a:schemeClr val="lt1"/>
                </a:solidFill>
              </a:ln>
              <a:effectLst/>
            </c:spPr>
          </c:dPt>
          <c:dLbls>
            <c:dLbl>
              <c:idx val="0"/>
              <c:layout>
                <c:manualLayout>
                  <c:x val="-0.00830398592442361"/>
                  <c:y val="0.0793467590807512"/>
                </c:manualLayout>
              </c:layout>
              <c:numFmt formatCode="0.00%" sourceLinked="0"/>
              <c:spPr>
                <a:noFill/>
                <a:ln>
                  <a:noFill/>
                </a:ln>
                <a:effectLst/>
              </c:spPr>
              <c:txPr>
                <a:bodyPr rot="0" spcFirstLastPara="0" vertOverflow="ellipsis" vert="horz" wrap="square" lIns="38100" tIns="19050" rIns="38100" bIns="19050" anchor="ctr" anchorCtr="1"/>
                <a:lstStyle/>
                <a:p>
                  <a:pPr>
                    <a:defRPr lang="zh-CN" sz="1200" b="1" i="0" u="none" strike="noStrike" kern="1200" baseline="0">
                      <a:solidFill>
                        <a:sysClr val="windowText" lastClr="000000"/>
                      </a:solidFill>
                      <a:latin typeface="黑体" panose="02010609060101010101" charset="-122"/>
                      <a:ea typeface="黑体" panose="02010609060101010101" charset="-122"/>
                      <a:cs typeface="黑体" panose="02010609060101010101" charset="-122"/>
                      <a:sym typeface="黑体" panose="02010609060101010101" charset="-122"/>
                    </a:defRPr>
                  </a:pPr>
                </a:p>
              </c:txPr>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numFmt formatCode="0.00%" sourceLinked="0"/>
              <c:spPr>
                <a:noFill/>
                <a:ln>
                  <a:noFill/>
                </a:ln>
                <a:effectLst/>
              </c:spPr>
              <c:txPr>
                <a:bodyPr rot="0" spcFirstLastPara="0" vertOverflow="ellipsis" vert="horz" wrap="square" lIns="38100" tIns="19050" rIns="38100" bIns="19050" anchor="ctr" anchorCtr="1"/>
                <a:lstStyle/>
                <a:p>
                  <a:pPr>
                    <a:defRPr lang="zh-CN" sz="1200" b="1" i="0" u="none" strike="noStrike" kern="1200" baseline="0">
                      <a:solidFill>
                        <a:sysClr val="windowText" lastClr="000000"/>
                      </a:solidFill>
                      <a:latin typeface="黑体" panose="02010609060101010101" charset="-122"/>
                      <a:ea typeface="黑体" panose="02010609060101010101" charset="-122"/>
                      <a:cs typeface="黑体" panose="02010609060101010101" charset="-122"/>
                      <a:sym typeface="黑体" panose="02010609060101010101" charset="-122"/>
                    </a:defRPr>
                  </a:pPr>
                </a:p>
              </c:txPr>
              <c:dLblPos val="inEnd"/>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200" b="1" i="0" u="none" strike="noStrike" kern="1200" baseline="0">
                    <a:solidFill>
                      <a:sysClr val="windowText" lastClr="000000"/>
                    </a:solidFill>
                    <a:latin typeface="黑体" panose="02010609060101010101" charset="-122"/>
                    <a:ea typeface="黑体" panose="02010609060101010101" charset="-122"/>
                    <a:cs typeface="黑体" panose="02010609060101010101" charset="-122"/>
                    <a:sym typeface="黑体" panose="02010609060101010101" charset="-122"/>
                  </a:defRPr>
                </a:pPr>
              </a:p>
            </c:txPr>
            <c:dLblPos val="in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1149.37</c:v>
                </c:pt>
                <c:pt idx="1">
                  <c:v>54090.31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1200" b="1" i="0" u="none" strike="noStrike" kern="1200" baseline="0">
                <a:solidFill>
                  <a:schemeClr val="tx1">
                    <a:lumMod val="65000"/>
                    <a:lumOff val="35000"/>
                  </a:schemeClr>
                </a:solidFill>
                <a:latin typeface="黑体" panose="02010609060101010101" charset="-122"/>
                <a:ea typeface="黑体" panose="02010609060101010101" charset="-122"/>
                <a:cs typeface="黑体" panose="02010609060101010101" charset="-122"/>
                <a:sym typeface="黑体" panose="02010609060101010101" charset="-122"/>
              </a:defRPr>
            </a:pPr>
          </a:p>
        </c:txPr>
      </c:legendEntry>
      <c:legendEntry>
        <c:idx val="1"/>
        <c:txPr>
          <a:bodyPr rot="0" spcFirstLastPara="0" vertOverflow="ellipsis" vert="horz" wrap="square" anchor="ctr" anchorCtr="1"/>
          <a:lstStyle/>
          <a:p>
            <a:pPr>
              <a:defRPr lang="zh-CN" sz="1200" b="1" i="0" u="none" strike="noStrike" kern="1200" baseline="0">
                <a:solidFill>
                  <a:schemeClr val="tx1">
                    <a:lumMod val="65000"/>
                    <a:lumOff val="35000"/>
                  </a:schemeClr>
                </a:solidFill>
                <a:latin typeface="黑体" panose="02010609060101010101" charset="-122"/>
                <a:ea typeface="黑体" panose="02010609060101010101" charset="-122"/>
                <a:cs typeface="黑体" panose="02010609060101010101" charset="-122"/>
                <a:sym typeface="黑体" panose="02010609060101010101" charset="-122"/>
              </a:defRPr>
            </a:pPr>
          </a:p>
        </c:txPr>
      </c:legendEntry>
      <c:layout>
        <c:manualLayout>
          <c:xMode val="edge"/>
          <c:yMode val="edge"/>
          <c:x val="0.752326217843459"/>
          <c:y val="0.228299319727891"/>
          <c:w val="0.201286261631089"/>
          <c:h val="0.222312925170068"/>
        </c:manualLayout>
      </c:layout>
      <c:overlay val="0"/>
      <c:spPr>
        <a:noFill/>
        <a:ln>
          <a:noFill/>
        </a:ln>
        <a:effectLst/>
      </c:spPr>
      <c:txPr>
        <a:bodyPr rot="0" spcFirstLastPara="1" vertOverflow="ellipsis" vert="horz" wrap="square" anchor="ctr" anchorCtr="1"/>
        <a:lstStyle/>
        <a:p>
          <a:pPr>
            <a:defRPr lang="zh-CN" sz="1200" b="1" i="0" u="none" strike="noStrike" kern="1200" baseline="0">
              <a:solidFill>
                <a:schemeClr val="tx1">
                  <a:lumMod val="65000"/>
                  <a:lumOff val="35000"/>
                </a:schemeClr>
              </a:solidFill>
              <a:latin typeface="黑体" panose="02010609060101010101" charset="-122"/>
              <a:ea typeface="黑体" panose="02010609060101010101" charset="-122"/>
              <a:cs typeface="黑体" panose="02010609060101010101" charset="-122"/>
              <a:sym typeface="黑体" panose="02010609060101010101" charset="-122"/>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sz="1200" b="1">
          <a:latin typeface="黑体" panose="02010609060101010101" charset="-122"/>
          <a:ea typeface="黑体" panose="02010609060101010101" charset="-122"/>
          <a:cs typeface="黑体" panose="02010609060101010101" charset="-122"/>
          <a:sym typeface="黑体" panose="02010609060101010101" charset="-122"/>
        </a:defRPr>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5BF93D-59BE-432F-84B6-C7A11971120F}">
  <ds:schemaRefs/>
</ds:datastoreItem>
</file>

<file path=docProps/app.xml><?xml version="1.0" encoding="utf-8"?>
<Properties xmlns="http://schemas.openxmlformats.org/officeDocument/2006/extended-properties" xmlns:vt="http://schemas.openxmlformats.org/officeDocument/2006/docPropsVTypes">
  <Template>Normal</Template>
  <Company>bjnsf</Company>
  <Pages>1</Pages>
  <Words>413</Words>
  <Characters>2356</Characters>
  <Lines>19</Lines>
  <Paragraphs>5</Paragraphs>
  <TotalTime>0</TotalTime>
  <ScaleCrop>false</ScaleCrop>
  <LinksUpToDate>false</LinksUpToDate>
  <CharactersWithSpaces>2764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2023-02-20T09:46:00Z</dcterms:created>
  <dc:creator>马 亚文</dc:creator>
  <cp:lastModifiedBy>leo-yao</cp:lastModifiedBy>
  <dcterms:modified xsi:type="dcterms:W3CDTF">2023-02-21T07:57:45Z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38539BC381E346DC91E766A7C325308E</vt:lpwstr>
  </property>
</Properties>
</file>