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北京市科学技术奖励工作办公室</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pPr>
      <w:r>
        <w:rPr>
          <w:rFonts w:hint="eastAsia" w:ascii="方正小标宋简体" w:eastAsia="方正小标宋简体"/>
          <w:color w:val="000000"/>
          <w:sz w:val="36"/>
          <w:szCs w:val="36"/>
        </w:rPr>
        <w:t>第一部分  2023年度单位预算情况说明</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北京市科学技术奖励工作办公室为公益一类事业单位，</w:t>
      </w:r>
      <w:r>
        <w:rPr>
          <w:rFonts w:ascii="仿宋_GB2312" w:eastAsia="仿宋_GB2312"/>
          <w:sz w:val="32"/>
          <w:szCs w:val="32"/>
        </w:rPr>
        <w:t>参照《公务员法》管理，</w:t>
      </w:r>
      <w:r>
        <w:rPr>
          <w:rFonts w:hint="eastAsia" w:ascii="仿宋_GB2312" w:eastAsia="仿宋_GB2312"/>
          <w:sz w:val="32"/>
          <w:szCs w:val="32"/>
        </w:rPr>
        <w:t>机构规格正处级，经费形式财政补助。主要职责：</w:t>
      </w:r>
      <w:r>
        <w:rPr>
          <w:rFonts w:hint="eastAsia" w:ascii="仿宋_GB2312" w:hAnsi="仿宋_GB2312" w:eastAsia="仿宋_GB2312" w:cs="仿宋_GB2312"/>
          <w:sz w:val="32"/>
          <w:szCs w:val="32"/>
        </w:rPr>
        <w:t>承担科学技术奖励政策拟订工作，北京市科学技术奖励组织实施工作，国家科学技术奖励推荐，科技奖励统计分析和获奖成果推广等工作。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北京市科学技术奖励工作办公室</w:t>
      </w:r>
      <w:r>
        <w:rPr>
          <w:rFonts w:hint="eastAsia" w:ascii="仿宋_GB2312" w:hAnsi="仿宋" w:eastAsia="仿宋_GB2312"/>
          <w:sz w:val="32"/>
          <w:szCs w:val="32"/>
        </w:rPr>
        <w:t>下设5</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_GB2312" w:eastAsia="仿宋_GB2312" w:cs="仿宋_GB2312"/>
          <w:sz w:val="32"/>
          <w:szCs w:val="32"/>
        </w:rPr>
        <w:t>综合管理部、发展规划部、人物奖励部、项目奖励部、成果管理部</w:t>
      </w:r>
      <w:r>
        <w:rPr>
          <w:rFonts w:hint="eastAsia" w:ascii="仿宋_GB2312" w:hAnsi="仿宋" w:eastAsia="仿宋_GB2312"/>
          <w:sz w:val="32"/>
          <w:szCs w:val="32"/>
        </w:rPr>
        <w:t>。</w:t>
      </w:r>
    </w:p>
    <w:p>
      <w:pPr>
        <w:spacing w:line="560" w:lineRule="exact"/>
        <w:ind w:firstLine="640" w:firstLineChars="200"/>
        <w:rPr>
          <w:rFonts w:ascii="仿宋_GB2312" w:eastAsia="仿宋_GB2312"/>
          <w:color w:val="FF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北京市科学技术奖励工作办公室事业编制29人，实有人数26人；</w:t>
      </w:r>
      <w:r>
        <w:rPr>
          <w:rFonts w:hint="eastAsia" w:ascii="仿宋_GB2312" w:eastAsia="仿宋_GB2312"/>
          <w:sz w:val="32"/>
          <w:szCs w:val="32"/>
        </w:rPr>
        <w:t>离退休人员</w:t>
      </w:r>
      <w:r>
        <w:rPr>
          <w:rFonts w:ascii="仿宋_GB2312" w:eastAsia="仿宋_GB2312"/>
          <w:sz w:val="32"/>
          <w:szCs w:val="32"/>
        </w:rPr>
        <w:t>7人，其中：离休</w:t>
      </w:r>
      <w:r>
        <w:rPr>
          <w:rFonts w:hint="eastAsia" w:ascii="仿宋_GB2312" w:eastAsia="仿宋_GB2312"/>
          <w:sz w:val="32"/>
          <w:szCs w:val="32"/>
        </w:rPr>
        <w:t>人员0</w:t>
      </w:r>
      <w:r>
        <w:rPr>
          <w:rFonts w:ascii="仿宋_GB2312" w:eastAsia="仿宋_GB2312"/>
          <w:sz w:val="32"/>
          <w:szCs w:val="32"/>
        </w:rPr>
        <w:t>人，退休</w:t>
      </w:r>
      <w:r>
        <w:rPr>
          <w:rFonts w:hint="eastAsia" w:ascii="仿宋_GB2312" w:eastAsia="仿宋_GB2312"/>
          <w:sz w:val="32"/>
          <w:szCs w:val="32"/>
        </w:rPr>
        <w:t>人员</w:t>
      </w:r>
      <w:r>
        <w:rPr>
          <w:rFonts w:ascii="仿宋_GB2312" w:eastAsia="仿宋_GB2312"/>
          <w:sz w:val="32"/>
          <w:szCs w:val="32"/>
        </w:rPr>
        <w:t>7人。</w:t>
      </w:r>
    </w:p>
    <w:p>
      <w:pPr>
        <w:numPr>
          <w:ilvl w:val="0"/>
          <w:numId w:val="1"/>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收入预算情况说明</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szCs w:val="32"/>
        </w:rPr>
        <w:t>2023年收入预算7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672.71万元，</w:t>
      </w:r>
      <w:r>
        <w:rPr>
          <w:rFonts w:hint="eastAsia" w:ascii="仿宋_GB2312" w:eastAsia="仿宋_GB2312"/>
          <w:sz w:val="32"/>
          <w:szCs w:val="32"/>
        </w:rPr>
        <w:t>比2022年年初预算数</w:t>
      </w:r>
      <w:r>
        <w:rPr>
          <w:rFonts w:hint="eastAsia" w:ascii="仿宋_GB2312" w:hAnsi="仿宋_GB2312" w:eastAsia="仿宋_GB2312" w:cs="仿宋_GB2312"/>
          <w:sz w:val="32"/>
          <w:szCs w:val="32"/>
        </w:rPr>
        <w:t>7,539.26万元增加133.45万元，增长1.77%。</w:t>
      </w:r>
      <w:r>
        <w:rPr>
          <w:rFonts w:hint="eastAsia" w:ascii="仿宋_GB2312" w:eastAsia="仿宋_GB2312"/>
          <w:sz w:val="32"/>
          <w:szCs w:val="32"/>
        </w:rPr>
        <w:t>主要原因</w:t>
      </w:r>
      <w:r>
        <w:rPr>
          <w:rFonts w:hint="eastAsia" w:ascii="仿宋_GB2312" w:eastAsia="仿宋_GB2312"/>
          <w:sz w:val="32"/>
          <w:szCs w:val="32"/>
          <w:lang w:val="en-US" w:eastAsia="zh-CN"/>
        </w:rPr>
        <w:t>是</w:t>
      </w:r>
      <w:r>
        <w:rPr>
          <w:rFonts w:hint="eastAsia" w:ascii="仿宋_GB2312" w:eastAsia="仿宋_GB2312"/>
          <w:sz w:val="32"/>
          <w:szCs w:val="32"/>
        </w:rPr>
        <w:t>人员增加、职务职级调整、工龄增加、社保基数调整等导致人员经费增长。</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（一）本年财政拨款收入7</w:t>
      </w:r>
      <w:r>
        <w:rPr>
          <w:rFonts w:ascii="楷体_GB2312" w:eastAsia="楷体_GB2312"/>
          <w:sz w:val="32"/>
          <w:szCs w:val="32"/>
        </w:rPr>
        <w:t>,</w:t>
      </w:r>
      <w:r>
        <w:rPr>
          <w:rFonts w:hint="eastAsia" w:ascii="楷体_GB2312" w:eastAsia="楷体_GB2312"/>
          <w:sz w:val="32"/>
          <w:szCs w:val="32"/>
        </w:rPr>
        <w:t>672.71万元</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1.</w:t>
      </w:r>
      <w:r>
        <w:rPr>
          <w:rFonts w:hint="eastAsia" w:ascii="仿宋_GB2312" w:hAnsi="仿宋_GB2312" w:eastAsia="仿宋_GB2312" w:cs="仿宋_GB2312"/>
          <w:sz w:val="32"/>
          <w:szCs w:val="32"/>
        </w:rPr>
        <w:t>一般公共预算拨款收入7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672.71万元。</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2.政府性基金预算拨款收入0.00万元</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10.上年结转结余0.00万元。</w:t>
      </w:r>
    </w:p>
    <w:p>
      <w:pPr>
        <w:spacing w:line="560" w:lineRule="exact"/>
        <w:ind w:firstLine="643" w:firstLineChars="200"/>
        <w:jc w:val="center"/>
        <w:rPr>
          <w:rFonts w:ascii="仿宋_GB2312" w:eastAsia="仿宋_GB2312"/>
          <w:sz w:val="32"/>
        </w:rPr>
      </w:pPr>
      <w:r>
        <w:rPr>
          <w:rFonts w:hint="eastAsia" w:ascii="仿宋_GB2312" w:hAnsi="Cambria" w:eastAsia="仿宋_GB2312" w:cs="Times New Roman"/>
          <w:b/>
          <w:bCs/>
          <w:kern w:val="0"/>
          <w:sz w:val="32"/>
          <w:szCs w:val="32"/>
        </w:rPr>
        <w:t>图1：收入预算</w:t>
      </w:r>
    </w:p>
    <w:p>
      <w:bookmarkStart w:id="0" w:name="_GoBack"/>
      <w:r>
        <w:drawing>
          <wp:inline distT="0" distB="0" distL="0" distR="0">
            <wp:extent cx="5175885" cy="3169285"/>
            <wp:effectExtent l="0" t="0" r="571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bookmarkEnd w:id="0"/>
    </w:p>
    <w:p>
      <w:pPr>
        <w:numPr>
          <w:ilvl w:val="0"/>
          <w:numId w:val="1"/>
        </w:numPr>
        <w:spacing w:line="560" w:lineRule="exact"/>
        <w:ind w:firstLine="640" w:firstLineChars="200"/>
        <w:rPr>
          <w:rFonts w:ascii="黑体" w:eastAsia="黑体"/>
          <w:sz w:val="32"/>
          <w:szCs w:val="32"/>
        </w:rPr>
      </w:pPr>
      <w:r>
        <w:rPr>
          <w:rFonts w:hint="eastAsia" w:ascii="黑体" w:eastAsia="黑体"/>
          <w:sz w:val="32"/>
          <w:szCs w:val="32"/>
        </w:rPr>
        <w:t>支出预算情况说明</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2023年支出预算</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672.71</w:t>
      </w:r>
      <w:r>
        <w:rPr>
          <w:rFonts w:hint="eastAsia" w:ascii="仿宋_GB2312" w:eastAsia="仿宋_GB2312"/>
          <w:sz w:val="32"/>
          <w:szCs w:val="32"/>
        </w:rPr>
        <w:t>万元，比2022年年初预算数</w:t>
      </w:r>
      <w:r>
        <w:rPr>
          <w:rFonts w:hint="eastAsia" w:ascii="仿宋_GB2312" w:hAnsi="仿宋_GB2312" w:eastAsia="仿宋_GB2312" w:cs="仿宋_GB2312"/>
          <w:sz w:val="32"/>
          <w:szCs w:val="32"/>
        </w:rPr>
        <w:t>7,539.26</w:t>
      </w:r>
      <w:r>
        <w:rPr>
          <w:rFonts w:hint="eastAsia" w:ascii="仿宋_GB2312" w:eastAsia="仿宋_GB2312"/>
          <w:sz w:val="32"/>
          <w:szCs w:val="32"/>
        </w:rPr>
        <w:t>万元增加</w:t>
      </w:r>
      <w:r>
        <w:rPr>
          <w:rFonts w:hint="eastAsia" w:ascii="仿宋_GB2312" w:hAnsi="仿宋_GB2312" w:eastAsia="仿宋_GB2312" w:cs="仿宋_GB2312"/>
          <w:sz w:val="32"/>
          <w:szCs w:val="32"/>
        </w:rPr>
        <w:t>133.45</w:t>
      </w:r>
      <w:r>
        <w:rPr>
          <w:rFonts w:hint="eastAsia" w:ascii="仿宋_GB2312" w:eastAsia="仿宋_GB2312"/>
          <w:sz w:val="32"/>
          <w:szCs w:val="32"/>
        </w:rPr>
        <w:t>万元，增长1.77%。主要原因</w:t>
      </w:r>
      <w:r>
        <w:rPr>
          <w:rFonts w:hint="eastAsia" w:ascii="仿宋_GB2312" w:eastAsia="仿宋_GB2312"/>
          <w:sz w:val="32"/>
          <w:szCs w:val="32"/>
          <w:lang w:val="en-US" w:eastAsia="zh-CN"/>
        </w:rPr>
        <w:t>是</w:t>
      </w:r>
      <w:r>
        <w:rPr>
          <w:rFonts w:hint="eastAsia" w:ascii="仿宋_GB2312" w:eastAsia="仿宋_GB2312"/>
          <w:sz w:val="32"/>
          <w:szCs w:val="32"/>
        </w:rPr>
        <w:t>人员增加、职务职级调整、工龄增加、社保基数调整等导致人员经费增长</w:t>
      </w:r>
      <w:r>
        <w:rPr>
          <w:rFonts w:hint="eastAsia" w:ascii="仿宋_GB2312" w:eastAsia="仿宋_GB2312"/>
          <w:sz w:val="32"/>
          <w:szCs w:val="32"/>
          <w:lang w:eastAsia="zh-CN"/>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基本支出预算904.01万元，占总支出预算11.78%，比2022年年初预算数829.31万元增加74.70万元，增长9.01%。</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项目支出预算6</w:t>
      </w:r>
      <w:r>
        <w:rPr>
          <w:rFonts w:ascii="仿宋_GB2312" w:eastAsia="仿宋_GB2312"/>
          <w:sz w:val="32"/>
          <w:szCs w:val="32"/>
        </w:rPr>
        <w:t>,</w:t>
      </w:r>
      <w:r>
        <w:rPr>
          <w:rFonts w:hint="eastAsia" w:ascii="仿宋_GB2312" w:eastAsia="仿宋_GB2312"/>
          <w:sz w:val="32"/>
          <w:szCs w:val="32"/>
        </w:rPr>
        <w:t>768.70万元，比2022年年初预算数6</w:t>
      </w:r>
      <w:r>
        <w:rPr>
          <w:rFonts w:ascii="仿宋_GB2312" w:eastAsia="仿宋_GB2312"/>
          <w:sz w:val="32"/>
          <w:szCs w:val="32"/>
        </w:rPr>
        <w:t>,</w:t>
      </w:r>
      <w:r>
        <w:rPr>
          <w:rFonts w:hint="eastAsia" w:ascii="仿宋_GB2312" w:eastAsia="仿宋_GB2312"/>
          <w:sz w:val="32"/>
          <w:szCs w:val="32"/>
        </w:rPr>
        <w:t>709.95万元增加58.75万元，增长0.88%。其中：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pStyle w:val="2"/>
        <w:ind w:firstLine="642"/>
        <w:jc w:val="center"/>
        <w:rPr>
          <w:color w:val="FF0000"/>
        </w:rPr>
      </w:pPr>
      <w:r>
        <w:rPr>
          <w:rFonts w:hint="eastAsia" w:ascii="仿宋_GB2312" w:eastAsia="仿宋_GB2312"/>
          <w:sz w:val="32"/>
        </w:rPr>
        <w:t>图2：基本支出和项目支出情况</w:t>
      </w:r>
    </w:p>
    <w:p>
      <w:pPr>
        <w:pStyle w:val="2"/>
        <w:rPr>
          <w:rFonts w:ascii="黑体"/>
          <w:sz w:val="32"/>
        </w:rPr>
      </w:pPr>
      <w:r>
        <w:drawing>
          <wp:inline distT="0" distB="0" distL="114300" distR="114300">
            <wp:extent cx="5534025" cy="2533015"/>
            <wp:effectExtent l="4445" t="4445" r="5080" b="15240"/>
            <wp:docPr id="5"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北京市科学技术奖励工作办公室因公出国（境）费用、公务接待费、公务用车购置和运行维护费开支单位包括1个所属单位。</w:t>
      </w:r>
    </w:p>
    <w:p>
      <w:pPr>
        <w:numPr>
          <w:ilvl w:val="0"/>
          <w:numId w:val="2"/>
        </w:numPr>
        <w:spacing w:line="560" w:lineRule="exact"/>
        <w:ind w:firstLine="640" w:firstLineChars="200"/>
        <w:rPr>
          <w:rFonts w:ascii="楷体_GB2312" w:eastAsia="楷体_GB2312"/>
          <w:sz w:val="32"/>
          <w:szCs w:val="32"/>
        </w:rPr>
      </w:pPr>
      <w:r>
        <w:rPr>
          <w:rFonts w:hint="eastAsia" w:ascii="楷体_GB2312" w:eastAsia="楷体_GB2312"/>
          <w:sz w:val="32"/>
          <w:szCs w:val="32"/>
        </w:rPr>
        <w:t>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2023年财政拨款“三公”经费预算20.16万元，比2022年财政拨款“三公”经费预算增加17.53万元。其中：</w:t>
      </w:r>
    </w:p>
    <w:p>
      <w:pPr>
        <w:numPr>
          <w:ilvl w:val="0"/>
          <w:numId w:val="3"/>
        </w:num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因公出国（境）费用。2023年预算数0.00万元，与2022年年初预算数0.00万元持平。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2.公务接待费。2023年预算数0.00万元，比2022年年初预算数0.38万元减少0.38万元，主要原因：落实政府“过紧日子”要求，进一步压减一般性支出。</w:t>
      </w:r>
    </w:p>
    <w:p>
      <w:pPr>
        <w:spacing w:line="560" w:lineRule="exact"/>
        <w:ind w:firstLine="640" w:firstLineChars="200"/>
        <w:rPr>
          <w:rFonts w:ascii="黑体" w:eastAsia="黑体"/>
          <w:sz w:val="32"/>
          <w:szCs w:val="32"/>
        </w:rPr>
      </w:pPr>
      <w:r>
        <w:rPr>
          <w:rFonts w:hint="eastAsia" w:ascii="仿宋_GB2312" w:eastAsia="仿宋_GB2312"/>
          <w:sz w:val="32"/>
          <w:szCs w:val="32"/>
        </w:rPr>
        <w:t>3.公务用车购置和运行维护费。2023年预算数20.16万元，其中，公务用车购置费2023年预算数17.98万元，比2022年年初预算数0.00万元增加17.98万元，主要原因：根据工作需要和资产管理相关规定，对符合更新条件的公务车申请更新；公务用车运行维护费2023年预算数2.18万元，其中：公务用车燃油1.00万元，公务用车维修0.43万元，公务用车保险0.43万元，其他支出0.32万元。公务用车运行维护费2023年预算数比2022年年初预算数2.25万元减少0.07万元。主要原因：落实政府“过紧日子”要求，进一步压减一般性支出。</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2023年北京市科学技术奖励工作办公室政府采购预算总额519.17万元，其中：政府采购货物预算22.35万元，政府采购工程预算0.00万元，政府采购服务预算496.82万元。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numPr>
          <w:ilvl w:val="0"/>
          <w:numId w:val="2"/>
        </w:numPr>
        <w:spacing w:line="560" w:lineRule="exact"/>
        <w:ind w:firstLine="640" w:firstLineChars="200"/>
        <w:rPr>
          <w:rFonts w:ascii="楷体_GB2312" w:eastAsia="楷体_GB2312"/>
          <w:sz w:val="32"/>
          <w:szCs w:val="32"/>
        </w:rPr>
      </w:pPr>
      <w:r>
        <w:rPr>
          <w:rFonts w:hint="eastAsia" w:ascii="楷体_GB2312" w:eastAsia="楷体_GB2312"/>
          <w:sz w:val="32"/>
          <w:szCs w:val="32"/>
        </w:rPr>
        <w:t>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2023年北京市科学技术奖励工作办公室1家参公管理事业单位的机关运行经费财政拨款预算82.39万元。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2023年，北京市科学技术奖励工作办公室填报绩效目标的预算项目4个，占本单位本年预算项目4个的100%。填报绩效目标的项目支出预算6</w:t>
      </w:r>
      <w:r>
        <w:rPr>
          <w:rFonts w:ascii="仿宋_GB2312" w:eastAsia="仿宋_GB2312"/>
          <w:sz w:val="32"/>
          <w:szCs w:val="32"/>
        </w:rPr>
        <w:t>,</w:t>
      </w:r>
      <w:r>
        <w:rPr>
          <w:rFonts w:hint="eastAsia" w:ascii="仿宋_GB2312" w:eastAsia="仿宋_GB2312"/>
          <w:sz w:val="32"/>
          <w:szCs w:val="32"/>
        </w:rPr>
        <w:t>768.70万元，占本单位本年项目支出预算的100%。</w:t>
      </w:r>
    </w:p>
    <w:p>
      <w:pPr>
        <w:numPr>
          <w:ilvl w:val="0"/>
          <w:numId w:val="4"/>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年底，北京市科学技术奖励工作办公室共有车辆1台，共计18.32万元；单位价值50万元以上的通用设备0台（套），共计0.00万元，单位价值100万元以上的专用设备0台（套）、共计0.00万元。</w:t>
      </w:r>
    </w:p>
    <w:p>
      <w:pPr>
        <w:numPr>
          <w:ilvl w:val="0"/>
          <w:numId w:val="5"/>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pStyle w:val="2"/>
      </w:pPr>
    </w:p>
    <w:p/>
    <w:p>
      <w:pPr>
        <w:spacing w:line="560" w:lineRule="exact"/>
        <w:jc w:val="center"/>
        <w:rPr>
          <w:rFonts w:ascii="方正小标宋简体" w:eastAsia="方正小标宋简体"/>
          <w:color w:val="000000"/>
          <w:sz w:val="36"/>
          <w:szCs w:val="36"/>
        </w:rPr>
      </w:pPr>
    </w:p>
    <w:p>
      <w:pPr>
        <w:spacing w:line="560" w:lineRule="exact"/>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center"/>
        <w:rPr>
          <w:rFonts w:ascii="方正小标宋简体" w:eastAsia="方正小标宋简体"/>
          <w:color w:val="000000"/>
          <w:sz w:val="36"/>
          <w:szCs w:val="36"/>
        </w:rPr>
      </w:pPr>
    </w:p>
    <w:p>
      <w:pPr>
        <w:spacing w:line="560" w:lineRule="exact"/>
        <w:ind w:left="960" w:hanging="960" w:hangingChars="300"/>
        <w:rPr>
          <w:rFonts w:ascii="仿宋_GB2312" w:eastAsia="仿宋_GB2312"/>
          <w:color w:val="000000"/>
          <w:sz w:val="32"/>
          <w:szCs w:val="32"/>
        </w:rPr>
      </w:pPr>
      <w:r>
        <w:rPr>
          <w:rFonts w:hint="eastAsia" w:ascii="仿宋_GB2312" w:eastAsia="仿宋_GB2312"/>
          <w:color w:val="000000"/>
          <w:sz w:val="32"/>
          <w:szCs w:val="32"/>
        </w:rPr>
        <w:t>附件：北京市科学技术奖励工作办公室2023年度单位预算报表</w:t>
      </w:r>
      <w:r>
        <w:rPr>
          <w:rFonts w:hint="eastAsia" w:ascii="仿宋_GB2312" w:eastAsia="仿宋_GB2312" w:cs="宋体"/>
          <w:color w:val="000000"/>
          <w:kern w:val="0"/>
          <w:sz w:val="32"/>
          <w:szCs w:val="32"/>
          <w:lang w:val="zh-CN"/>
        </w:rPr>
        <w:t xml:space="preserve"> </w:t>
      </w:r>
    </w:p>
    <w:p/>
    <w:sectPr>
      <w:footerReference r:id="rId3" w:type="default"/>
      <w:pgSz w:w="11906" w:h="16838"/>
      <w:pgMar w:top="1304" w:right="1531" w:bottom="130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EBADAF"/>
    <w:multiLevelType w:val="singleLevel"/>
    <w:tmpl w:val="99EBADAF"/>
    <w:lvl w:ilvl="0" w:tentative="0">
      <w:start w:val="2"/>
      <w:numFmt w:val="chineseCounting"/>
      <w:suff w:val="nothing"/>
      <w:lvlText w:val="（%1）"/>
      <w:lvlJc w:val="left"/>
      <w:rPr>
        <w:rFonts w:hint="eastAsia"/>
      </w:rPr>
    </w:lvl>
  </w:abstractNum>
  <w:abstractNum w:abstractNumId="1">
    <w:nsid w:val="F20B0DF1"/>
    <w:multiLevelType w:val="singleLevel"/>
    <w:tmpl w:val="F20B0DF1"/>
    <w:lvl w:ilvl="0" w:tentative="0">
      <w:start w:val="2"/>
      <w:numFmt w:val="chineseCounting"/>
      <w:suff w:val="nothing"/>
      <w:lvlText w:val="%1、"/>
      <w:lvlJc w:val="left"/>
      <w:rPr>
        <w:rFonts w:hint="eastAsia"/>
      </w:rPr>
    </w:lvl>
  </w:abstractNum>
  <w:abstractNum w:abstractNumId="2">
    <w:nsid w:val="1A395AC2"/>
    <w:multiLevelType w:val="singleLevel"/>
    <w:tmpl w:val="1A395AC2"/>
    <w:lvl w:ilvl="0" w:tentative="0">
      <w:start w:val="1"/>
      <w:numFmt w:val="decimal"/>
      <w:lvlText w:val="%1."/>
      <w:lvlJc w:val="left"/>
      <w:pPr>
        <w:tabs>
          <w:tab w:val="left" w:pos="312"/>
        </w:tabs>
      </w:pPr>
    </w:lvl>
  </w:abstractNum>
  <w:abstractNum w:abstractNumId="3">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4">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26A9E"/>
    <w:rsid w:val="00041FDB"/>
    <w:rsid w:val="0005332D"/>
    <w:rsid w:val="00111FFB"/>
    <w:rsid w:val="0018280D"/>
    <w:rsid w:val="001F075F"/>
    <w:rsid w:val="001F2639"/>
    <w:rsid w:val="003F614B"/>
    <w:rsid w:val="004062C2"/>
    <w:rsid w:val="004230FC"/>
    <w:rsid w:val="004E3E95"/>
    <w:rsid w:val="008D7BE0"/>
    <w:rsid w:val="009653FE"/>
    <w:rsid w:val="009D6C86"/>
    <w:rsid w:val="00AA0B9A"/>
    <w:rsid w:val="00AB7921"/>
    <w:rsid w:val="00BF4454"/>
    <w:rsid w:val="00BF47E0"/>
    <w:rsid w:val="00DA3E64"/>
    <w:rsid w:val="00E761B8"/>
    <w:rsid w:val="00F528D5"/>
    <w:rsid w:val="00FF2FA1"/>
    <w:rsid w:val="017A19A1"/>
    <w:rsid w:val="017C2CB3"/>
    <w:rsid w:val="01A00569"/>
    <w:rsid w:val="042A5AF7"/>
    <w:rsid w:val="04447FB3"/>
    <w:rsid w:val="06EA15F1"/>
    <w:rsid w:val="07CD02C0"/>
    <w:rsid w:val="0AEE023D"/>
    <w:rsid w:val="0B19782D"/>
    <w:rsid w:val="0B316CED"/>
    <w:rsid w:val="0C2C5114"/>
    <w:rsid w:val="0C7849F9"/>
    <w:rsid w:val="0D3A63F7"/>
    <w:rsid w:val="0E146C48"/>
    <w:rsid w:val="0FE3246F"/>
    <w:rsid w:val="10D64689"/>
    <w:rsid w:val="10F36FE9"/>
    <w:rsid w:val="11385773"/>
    <w:rsid w:val="11C66D74"/>
    <w:rsid w:val="12275385"/>
    <w:rsid w:val="125970B9"/>
    <w:rsid w:val="14144B0C"/>
    <w:rsid w:val="15404B6F"/>
    <w:rsid w:val="16EB30C7"/>
    <w:rsid w:val="16F629B9"/>
    <w:rsid w:val="17122D53"/>
    <w:rsid w:val="1731136C"/>
    <w:rsid w:val="19573EBF"/>
    <w:rsid w:val="19AF6DCC"/>
    <w:rsid w:val="1B8970FB"/>
    <w:rsid w:val="1BC25DF0"/>
    <w:rsid w:val="1C377365"/>
    <w:rsid w:val="1E6C3F37"/>
    <w:rsid w:val="1EE52218"/>
    <w:rsid w:val="1F6E507C"/>
    <w:rsid w:val="2074045F"/>
    <w:rsid w:val="22925F36"/>
    <w:rsid w:val="234D2B0B"/>
    <w:rsid w:val="25B57553"/>
    <w:rsid w:val="27332718"/>
    <w:rsid w:val="27BE17EE"/>
    <w:rsid w:val="28DF395A"/>
    <w:rsid w:val="2907142C"/>
    <w:rsid w:val="29A97D58"/>
    <w:rsid w:val="2A252715"/>
    <w:rsid w:val="2A3654DB"/>
    <w:rsid w:val="2A4C2E6E"/>
    <w:rsid w:val="2B024961"/>
    <w:rsid w:val="2BD27A1E"/>
    <w:rsid w:val="2D9617EB"/>
    <w:rsid w:val="2F0C55D5"/>
    <w:rsid w:val="2F965BF5"/>
    <w:rsid w:val="2FD86E9B"/>
    <w:rsid w:val="307153DD"/>
    <w:rsid w:val="31401FA3"/>
    <w:rsid w:val="36154711"/>
    <w:rsid w:val="36CA5C2C"/>
    <w:rsid w:val="37582A72"/>
    <w:rsid w:val="3AF818B3"/>
    <w:rsid w:val="3B750EE5"/>
    <w:rsid w:val="3C587DD4"/>
    <w:rsid w:val="42FB6058"/>
    <w:rsid w:val="43364990"/>
    <w:rsid w:val="437D062D"/>
    <w:rsid w:val="44180AA1"/>
    <w:rsid w:val="45B36A67"/>
    <w:rsid w:val="478D08F6"/>
    <w:rsid w:val="482A1178"/>
    <w:rsid w:val="49077CB8"/>
    <w:rsid w:val="498D4675"/>
    <w:rsid w:val="4C740363"/>
    <w:rsid w:val="4D605DD5"/>
    <w:rsid w:val="4D8D720D"/>
    <w:rsid w:val="4DA66A4D"/>
    <w:rsid w:val="4E367CEF"/>
    <w:rsid w:val="4EE01C53"/>
    <w:rsid w:val="4F24642B"/>
    <w:rsid w:val="4F383E2F"/>
    <w:rsid w:val="50FB7F6E"/>
    <w:rsid w:val="51567011"/>
    <w:rsid w:val="5209265C"/>
    <w:rsid w:val="55926977"/>
    <w:rsid w:val="57BD5228"/>
    <w:rsid w:val="583D1DD1"/>
    <w:rsid w:val="58971F5B"/>
    <w:rsid w:val="59121676"/>
    <w:rsid w:val="596F2A33"/>
    <w:rsid w:val="59B92E21"/>
    <w:rsid w:val="59C97F41"/>
    <w:rsid w:val="5A162CF0"/>
    <w:rsid w:val="5A752689"/>
    <w:rsid w:val="5BE81245"/>
    <w:rsid w:val="5E03083C"/>
    <w:rsid w:val="5E224753"/>
    <w:rsid w:val="5EF15B30"/>
    <w:rsid w:val="5F07071D"/>
    <w:rsid w:val="60E66B0E"/>
    <w:rsid w:val="61611A47"/>
    <w:rsid w:val="618E0FB8"/>
    <w:rsid w:val="61EA10F7"/>
    <w:rsid w:val="62422353"/>
    <w:rsid w:val="637235DB"/>
    <w:rsid w:val="63BC79DF"/>
    <w:rsid w:val="644C132A"/>
    <w:rsid w:val="64526CF8"/>
    <w:rsid w:val="65406257"/>
    <w:rsid w:val="66AF572C"/>
    <w:rsid w:val="67546BF3"/>
    <w:rsid w:val="68B90674"/>
    <w:rsid w:val="69004F74"/>
    <w:rsid w:val="6914700F"/>
    <w:rsid w:val="6A097E59"/>
    <w:rsid w:val="6F50511D"/>
    <w:rsid w:val="7007308C"/>
    <w:rsid w:val="70EF1F9B"/>
    <w:rsid w:val="718B3E8F"/>
    <w:rsid w:val="72D93BA9"/>
    <w:rsid w:val="72F47FD9"/>
    <w:rsid w:val="72FB2E21"/>
    <w:rsid w:val="733E4E82"/>
    <w:rsid w:val="736F3422"/>
    <w:rsid w:val="74F275AB"/>
    <w:rsid w:val="75112A0C"/>
    <w:rsid w:val="78A74CC3"/>
    <w:rsid w:val="7D0B0AC6"/>
    <w:rsid w:val="7E183749"/>
    <w:rsid w:val="7FE92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qFormat/>
    <w:uiPriority w:val="0"/>
    <w:rPr>
      <w:rFonts w:ascii="Cambria" w:hAnsi="Cambria" w:eastAsia="黑体" w:cs="Times New Roman"/>
      <w:b/>
      <w:bCs/>
      <w:kern w:val="0"/>
      <w:sz w:val="36"/>
      <w:szCs w:val="32"/>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字符"/>
    <w:basedOn w:val="8"/>
    <w:link w:val="3"/>
    <w:qFormat/>
    <w:uiPriority w:val="99"/>
    <w:rPr>
      <w:rFonts w:ascii="Times New Roman" w:hAnsi="Times New Roman" w:eastAsia="宋体" w:cs="Droid Sans"/>
      <w:szCs w:val="24"/>
    </w:rPr>
  </w:style>
  <w:style w:type="character" w:customStyle="1" w:styleId="15">
    <w:name w:val="批注主题 字符"/>
    <w:basedOn w:val="14"/>
    <w:link w:val="6"/>
    <w:semiHidden/>
    <w:qFormat/>
    <w:uiPriority w:val="99"/>
    <w:rPr>
      <w:rFonts w:ascii="Times New Roman" w:hAnsi="Times New Roman" w:eastAsia="宋体" w:cs="Droid Sans"/>
      <w:b/>
      <w:bCs/>
      <w:szCs w:val="24"/>
    </w:rPr>
  </w:style>
  <w:style w:type="paragraph" w:customStyle="1" w:styleId="16">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cf01"/>
    <w:basedOn w:val="8"/>
    <w:qFormat/>
    <w:uiPriority w:val="0"/>
    <w:rPr>
      <w:rFonts w:hint="eastAsia" w:ascii="Microsoft YaHei UI" w:hAnsi="Microsoft YaHei UI" w:eastAsia="Microsoft YaHei UI"/>
      <w:sz w:val="18"/>
      <w:szCs w:val="18"/>
    </w:rPr>
  </w:style>
  <w:style w:type="paragraph" w:customStyle="1" w:styleId="18">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36130;&#21153;\&#36130;&#21153;\&#39044;&#31639;\2023&#24180;&#39044;&#31639;\&#39044;&#31639;&#20844;&#24320;\&#24066;&#31185;&#22996;&#12289;&#20013;&#20851;&#26449;&#31649;&#22996;&#20250;2023&#24180;&#37096;&#38376;&#39044;&#31639;&#20844;&#24320;&#24037;&#20316;&#35201;&#27714;\&#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收入预算</a:t>
            </a:r>
            <a:r>
              <a:rPr lang="zh-CN"/>
              <a:t> </a:t>
            </a:r>
            <a:endParaRPr lang="zh-CN"/>
          </a:p>
        </c:rich>
      </c:tx>
      <c:layout/>
      <c:overlay val="0"/>
    </c:title>
    <c:autoTitleDeleted val="0"/>
    <c:plotArea>
      <c:layout>
        <c:manualLayout>
          <c:layoutTarget val="inner"/>
          <c:xMode val="edge"/>
          <c:yMode val="edge"/>
          <c:x val="0.195586928468214"/>
          <c:y val="0.167871480875619"/>
          <c:w val="0.500913562216504"/>
          <c:h val="0.818056596243428"/>
        </c:manualLayout>
      </c:layout>
      <c:pieChart>
        <c:varyColors val="1"/>
        <c:ser>
          <c:idx val="0"/>
          <c:order val="0"/>
          <c:tx>
            <c:strRef>
              <c:f>'图5--收入、支出结构'!$C$1:$C$2</c:f>
              <c:strCache>
                <c:ptCount val="1"/>
                <c:pt idx="0">
                  <c:v>收入预算 决算数</c:v>
                </c:pt>
              </c:strCache>
            </c:strRef>
          </c:tx>
          <c:explosion val="25"/>
          <c:dPt>
            <c:idx val="0"/>
            <c:bubble3D val="0"/>
            <c:explosion val="0"/>
          </c:dPt>
          <c:dLbls>
            <c:dLbl>
              <c:idx val="0"/>
              <c:layout>
                <c:manualLayout>
                  <c:x val="-0.00522801384735455"/>
                  <c:y val="-0.169755919038252"/>
                </c:manualLayout>
              </c:layout>
              <c:numFmt formatCode="General" sourceLinked="1"/>
              <c:spPr>
                <a:noFill/>
                <a:ln>
                  <a:noFill/>
                </a:ln>
                <a:effectLst/>
              </c:spPr>
              <c:txPr>
                <a:bodyPr rot="0" spcFirstLastPara="0" vertOverflow="ellipsis" vert="horz" wrap="square" lIns="38100" tIns="19050" rIns="38100" bIns="19050" anchor="ctr" anchorCtr="1">
                  <a:noAutofit/>
                </a:bodyPr>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0695790929673675"/>
                      <c:h val="0.100990489471218"/>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'图5--收入、支出结构'!$B$3</c:f>
              <c:strCache>
                <c:ptCount val="1"/>
                <c:pt idx="0">
                  <c:v>一般公共预算拨款收入</c:v>
                </c:pt>
              </c:strCache>
            </c:strRef>
          </c:cat>
          <c:val>
            <c:numRef>
              <c:f>'图5--收入、支出结构'!$C$3</c:f>
              <c:numCache>
                <c:formatCode>#,##0.00</c:formatCode>
                <c:ptCount val="1"/>
                <c:pt idx="0">
                  <c:v>7672.71</c:v>
                </c:pt>
              </c:numCache>
            </c:numRef>
          </c:val>
        </c:ser>
        <c:ser>
          <c:idx val="1"/>
          <c:order val="1"/>
          <c:tx>
            <c:strRef>
              <c:f>'图5--收入、支出结构'!$D$1:$D$2</c:f>
              <c:strCache>
                <c:ptCount val="1"/>
                <c:pt idx="0">
                  <c:v>收入预算 占比</c:v>
                </c:pt>
              </c:strCache>
            </c:strRef>
          </c:tx>
          <c:explosion val="25"/>
          <c:dPt>
            <c:idx val="0"/>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'图5--收入、支出结构'!$B$3</c:f>
              <c:strCache>
                <c:ptCount val="1"/>
                <c:pt idx="0">
                  <c:v>一般公共预算拨款收入</c:v>
                </c:pt>
              </c:strCache>
            </c:strRef>
          </c:cat>
          <c:val>
            <c:numRef>
              <c:f>'图5--收入、支出结构'!$D$3</c:f>
              <c:numCache>
                <c:formatCode>0.00%</c:formatCode>
                <c:ptCount val="1"/>
                <c:pt idx="0">
                  <c:v>1</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6350" cap="flat" cmpd="sng" algn="ctr">
      <a:solidFill>
        <a:schemeClr val="bg1">
          <a:lumMod val="85000"/>
        </a:schemeClr>
      </a:solid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25"/>
          <c:y val="0.14041656915516"/>
          <c:w val="0.394166666666667"/>
          <c:h val="0.664170372103908"/>
        </c:manualLayout>
      </c:layout>
      <c:pieChart>
        <c:varyColors val="1"/>
        <c:ser>
          <c:idx val="0"/>
          <c:order val="0"/>
          <c:spPr/>
          <c:explosion val="0"/>
          <c:dPt>
            <c:idx val="0"/>
            <c:bubble3D val="0"/>
            <c:spPr>
              <a:solidFill>
                <a:schemeClr val="accent5"/>
              </a:solidFill>
              <a:ln w="19050">
                <a:solidFill>
                  <a:schemeClr val="lt1"/>
                </a:solidFill>
              </a:ln>
              <a:effectLst/>
            </c:spPr>
          </c:dPt>
          <c:dPt>
            <c:idx val="1"/>
            <c:bubble3D val="0"/>
            <c:spPr>
              <a:gradFill>
                <a:gsLst>
                  <a:gs pos="0">
                    <a:srgbClr val="FF0000">
                      <a:lumMod val="0"/>
                    </a:srgbClr>
                  </a:gs>
                  <a:gs pos="0">
                    <a:srgbClr val="FE4444">
                      <a:alpha val="100000"/>
                    </a:srgbClr>
                  </a:gs>
                  <a:gs pos="100000">
                    <a:srgbClr val="832B2B"/>
                  </a:gs>
                </a:gsLst>
                <a:lin ang="5400000" scaled="0"/>
              </a:gradFill>
              <a:ln w="19050">
                <a:solidFill>
                  <a:schemeClr val="lt1"/>
                </a:solidFill>
              </a:ln>
              <a:effectLst/>
            </c:spPr>
          </c:dPt>
          <c:dLbls>
            <c:dLbl>
              <c:idx val="0"/>
              <c:layout>
                <c:manualLayout>
                  <c:x val="-0.0474641387777804"/>
                  <c:y val="0.131179197870858"/>
                </c:manualLayout>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11.78%</a:t>
                    </a:r>
                    <a:endParaRPr lang="en-US" altLang="zh-CN"/>
                  </a:p>
                </c:rich>
              </c:tx>
              <c:dLblPos val="bestFit"/>
              <c:showLegendKey val="0"/>
              <c:showVal val="0"/>
              <c:showCatName val="0"/>
              <c:showSerName val="0"/>
              <c:showPercent val="1"/>
              <c:showBubbleSize val="0"/>
              <c:extLst>
                <c:ext xmlns:c15="http://schemas.microsoft.com/office/drawing/2012/chart" uri="{CE6537A1-D6FC-4f65-9D91-7224C49458BB}">
                  <c15:layout>
                    <c:manualLayout>
                      <c:w val="0.109722222222222"/>
                      <c:h val="0.0891203703703704"/>
                    </c:manualLayout>
                  </c15:layout>
                </c:ext>
              </c:extLst>
            </c:dLbl>
            <c:dLbl>
              <c:idx val="1"/>
              <c:layout>
                <c:manualLayout>
                  <c:x val="0.04329748541225"/>
                  <c:y val="-0.212278364860089"/>
                </c:manualLayout>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88.22%</a:t>
                    </a:r>
                    <a:endParaRPr lang="en-US" altLang="zh-CN"/>
                  </a:p>
                </c:rich>
              </c:tx>
              <c:dLblPos val="bestFit"/>
              <c:showLegendKey val="0"/>
              <c:showVal val="0"/>
              <c:showCatName val="0"/>
              <c:showSerName val="0"/>
              <c:showPercent val="1"/>
              <c:showBubbleSize val="0"/>
              <c:extLst>
                <c:ext xmlns:c15="http://schemas.microsoft.com/office/drawing/2012/chart" uri="{CE6537A1-D6FC-4f65-9D91-7224C49458BB}">
                  <c15:layout>
                    <c:manualLayout>
                      <c:w val="0.137916666666667"/>
                      <c:h val="0.11875"/>
                    </c:manualLayout>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工作表.xls]Sheet1'!$C$2:$D$2</c:f>
              <c:strCache>
                <c:ptCount val="2"/>
                <c:pt idx="0">
                  <c:v>基本支出</c:v>
                </c:pt>
                <c:pt idx="1">
                  <c:v>项目支出</c:v>
                </c:pt>
              </c:strCache>
            </c:strRef>
          </c:cat>
          <c:val>
            <c:numRef>
              <c:f>'[新建 XLS 工作表.xls]Sheet1'!$C$3:$D$3</c:f>
              <c:numCache>
                <c:formatCode>0.00%</c:formatCode>
                <c:ptCount val="2"/>
                <c:pt idx="0">
                  <c:v>0.1178</c:v>
                </c:pt>
                <c:pt idx="1">
                  <c:v>0.8822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0.325833333333333"/>
          <c:y val="0.85279663000234"/>
          <c:w val="0.317222222222222"/>
          <c:h val="0.092206880411888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C820C-FA99-4654-96F6-FD812A43DD38}">
  <ds:schemaRefs/>
</ds:datastoreItem>
</file>

<file path=docProps/app.xml><?xml version="1.0" encoding="utf-8"?>
<Properties xmlns="http://schemas.openxmlformats.org/officeDocument/2006/extended-properties" xmlns:vt="http://schemas.openxmlformats.org/officeDocument/2006/docPropsVTypes">
  <Template>Normal</Template>
  <Pages>9</Pages>
  <Words>415</Words>
  <Characters>2372</Characters>
  <Lines>19</Lines>
  <Paragraphs>5</Paragraphs>
  <TotalTime>39</TotalTime>
  <ScaleCrop>false</ScaleCrop>
  <LinksUpToDate>false</LinksUpToDate>
  <CharactersWithSpaces>2782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2023-02-14T02:16:00Z</dcterms:created>
  <dc:creator>马 亚文</dc:creator>
  <cp:lastModifiedBy>leo-yao</cp:lastModifiedBy>
  <dcterms:modified xsi:type="dcterms:W3CDTF">2023-02-23T02:33:58Z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