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北京技术市场管理办公室</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pStyle w:val="2"/>
        <w:ind w:firstLine="420"/>
        <w:rPr>
          <w:lang w:val="zh-CN"/>
        </w:rPr>
      </w:pPr>
      <w:r>
        <w:rPr>
          <w:lang w:val="zh-CN"/>
        </w:rP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tabs>
          <w:tab w:val="center" w:pos="6979"/>
        </w:tabs>
        <w:spacing w:line="580" w:lineRule="exact"/>
        <w:ind w:firstLine="640" w:firstLineChars="200"/>
        <w:rPr>
          <w:rFonts w:ascii="仿宋_GB2312" w:eastAsia="仿宋_GB2312"/>
          <w:sz w:val="32"/>
          <w:szCs w:val="32"/>
        </w:rPr>
      </w:pPr>
      <w:r>
        <w:rPr>
          <w:rFonts w:hint="eastAsia" w:ascii="仿宋_GB2312" w:eastAsia="仿宋_GB2312"/>
          <w:sz w:val="32"/>
          <w:szCs w:val="32"/>
        </w:rPr>
        <w:t>北京技术市场管理办公室为公益一类事业单位，</w:t>
      </w:r>
      <w:r>
        <w:rPr>
          <w:rFonts w:ascii="仿宋_GB2312" w:eastAsia="仿宋_GB2312"/>
          <w:sz w:val="32"/>
          <w:szCs w:val="32"/>
        </w:rPr>
        <w:t>参照《公务员法》管理，</w:t>
      </w:r>
      <w:r>
        <w:rPr>
          <w:rFonts w:hint="eastAsia" w:ascii="仿宋_GB2312" w:eastAsia="仿宋_GB2312"/>
          <w:sz w:val="32"/>
          <w:szCs w:val="32"/>
        </w:rPr>
        <w:t>机构规格正处级，经费形式财政补助。主要职责：承担北京技术市场日常管理监督工作，技术合同认定登记和技术合同登记机构管理，技术市场统计和分析等工作。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FF0000"/>
          <w:sz w:val="32"/>
          <w:szCs w:val="32"/>
        </w:rPr>
      </w:pPr>
      <w:r>
        <w:rPr>
          <w:rFonts w:hint="eastAsia" w:ascii="仿宋_GB2312" w:eastAsia="仿宋_GB2312"/>
          <w:sz w:val="32"/>
          <w:szCs w:val="32"/>
        </w:rPr>
        <w:t>北京技术市场管理办公室下设</w:t>
      </w:r>
      <w:r>
        <w:rPr>
          <w:rFonts w:hint="eastAsia" w:ascii="仿宋_GB2312" w:eastAsia="仿宋_GB2312"/>
          <w:sz w:val="32"/>
          <w:szCs w:val="32"/>
          <w:lang w:val="en-US" w:eastAsia="zh-CN"/>
        </w:rPr>
        <w:t>4</w:t>
      </w:r>
      <w:r>
        <w:rPr>
          <w:rFonts w:hint="eastAsia" w:ascii="仿宋_GB2312" w:eastAsia="仿宋_GB2312"/>
          <w:sz w:val="32"/>
          <w:szCs w:val="32"/>
        </w:rPr>
        <w:t>个部门，分别是综合管理科、登记管理科、监督管理科和统计监测科。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（三）人员编制及实有情况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北京技术市场管理办公室事业编制21人，实有人数18人；离退休人员18人，其中：离休人员0人，退休人员18人。</w:t>
      </w:r>
    </w:p>
    <w:p>
      <w:pPr>
        <w:keepNext w:val="0"/>
        <w:keepLines w:val="0"/>
        <w:pageBreakBefore w:val="0"/>
        <w:widowControl w:val="0"/>
        <w:kinsoku/>
        <w:wordWrap/>
        <w:overflowPunct/>
        <w:topLinePunct w:val="0"/>
        <w:autoSpaceDE/>
        <w:autoSpaceDN/>
        <w:bidi w:val="0"/>
        <w:adjustRightInd/>
        <w:snapToGrid/>
        <w:spacing w:before="235" w:beforeLines="75" w:line="560" w:lineRule="exact"/>
        <w:ind w:firstLine="640" w:firstLineChars="200"/>
        <w:textAlignment w:val="auto"/>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2023年度收入预算2,082.23万元，比2022年年初预算数2</w:t>
      </w:r>
      <w:r>
        <w:rPr>
          <w:rFonts w:hint="eastAsia" w:ascii="仿宋_GB2312" w:hAnsi="仿宋_GB2312" w:eastAsia="仿宋_GB2312" w:cs="仿宋_GB2312"/>
          <w:color w:val="3D3D3D"/>
          <w:sz w:val="32"/>
          <w:szCs w:val="32"/>
          <w:shd w:val="clear" w:color="auto" w:fill="FFFFFF"/>
        </w:rPr>
        <w:t>,</w:t>
      </w:r>
      <w:r>
        <w:rPr>
          <w:rFonts w:hint="eastAsia" w:ascii="仿宋_GB2312" w:eastAsia="仿宋_GB2312"/>
          <w:sz w:val="32"/>
          <w:szCs w:val="32"/>
        </w:rPr>
        <w:t>303.07万元减少220.84万元，下降9.59%。主要原因是根据工作安排，减少</w:t>
      </w:r>
      <w:r>
        <w:rPr>
          <w:rFonts w:hint="eastAsia" w:ascii="仿宋_GB2312" w:eastAsia="仿宋_GB2312"/>
          <w:sz w:val="32"/>
          <w:szCs w:val="32"/>
          <w:lang w:val="en-US" w:eastAsia="zh-CN"/>
        </w:rPr>
        <w:t>相关工作内容</w:t>
      </w:r>
      <w:r>
        <w:rPr>
          <w:rFonts w:hint="eastAsia" w:ascii="仿宋_GB2312" w:eastAsia="仿宋_GB2312"/>
          <w:sz w:val="32"/>
          <w:szCs w:val="32"/>
        </w:rPr>
        <w:t>，相应减少</w:t>
      </w:r>
      <w:r>
        <w:rPr>
          <w:rFonts w:hint="eastAsia" w:ascii="仿宋_GB2312" w:eastAsia="仿宋_GB2312"/>
          <w:sz w:val="32"/>
          <w:szCs w:val="32"/>
          <w:lang w:val="en-US" w:eastAsia="zh-CN"/>
        </w:rPr>
        <w:t>项目预算</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（一）本年财政拨款收入1,992.52万元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1.一般公共预算拨款收入1,992.52万元。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（三）上年结转结余89.71万元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10.上年结转结余89.71万元。</w:t>
      </w:r>
    </w:p>
    <w:p>
      <w:pPr>
        <w:pStyle w:val="3"/>
        <w:jc w:val="center"/>
        <w:rPr>
          <w:rFonts w:ascii="仿宋_GB2312" w:eastAsia="仿宋_GB2312"/>
          <w:b w:val="0"/>
          <w:bCs w:val="0"/>
          <w:sz w:val="32"/>
        </w:rPr>
      </w:pPr>
      <w:r>
        <w:rPr>
          <w:rFonts w:hint="eastAsia" w:ascii="仿宋_GB2312" w:eastAsia="仿宋_GB2312"/>
          <w:b w:val="0"/>
          <w:bCs w:val="0"/>
          <w:sz w:val="32"/>
        </w:rPr>
        <w:t>图1：收入预算</w:t>
      </w:r>
    </w:p>
    <w:p>
      <w:pPr>
        <w:jc w:val="center"/>
        <w:rPr>
          <w:rFonts w:ascii="仿宋_GB2312" w:eastAsia="仿宋_GB2312"/>
          <w:sz w:val="32"/>
          <w:szCs w:val="32"/>
        </w:rPr>
      </w:pPr>
      <w:r>
        <w:drawing>
          <wp:inline distT="0" distB="0" distL="114300" distR="114300">
            <wp:extent cx="4572000" cy="2743200"/>
            <wp:effectExtent l="4445" t="4445" r="14605" b="14605"/>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jc w:val="center"/>
        <w:rPr>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2023年支出预算2</w:t>
      </w:r>
      <w:r>
        <w:rPr>
          <w:rFonts w:hint="eastAsia" w:ascii="仿宋_GB2312" w:eastAsia="仿宋_GB2312"/>
          <w:sz w:val="32"/>
          <w:szCs w:val="32"/>
          <w:lang w:val="en-US" w:eastAsia="zh-CN"/>
        </w:rPr>
        <w:t>,</w:t>
      </w:r>
      <w:r>
        <w:rPr>
          <w:rFonts w:hint="eastAsia" w:ascii="仿宋_GB2312" w:eastAsia="仿宋_GB2312"/>
          <w:sz w:val="32"/>
          <w:szCs w:val="32"/>
        </w:rPr>
        <w:t>082.23万元，比2022年年初预算数2</w:t>
      </w:r>
      <w:r>
        <w:rPr>
          <w:rFonts w:hint="eastAsia" w:ascii="仿宋_GB2312" w:eastAsia="仿宋_GB2312"/>
          <w:sz w:val="32"/>
          <w:szCs w:val="32"/>
          <w:lang w:val="en-US" w:eastAsia="zh-CN"/>
        </w:rPr>
        <w:t>,</w:t>
      </w:r>
      <w:r>
        <w:rPr>
          <w:rFonts w:hint="eastAsia" w:ascii="仿宋_GB2312" w:eastAsia="仿宋_GB2312"/>
          <w:sz w:val="32"/>
          <w:szCs w:val="32"/>
        </w:rPr>
        <w:t>303.07万元减少220.84万元，下降9.59%。主要原因是根据工作安排，减少</w:t>
      </w:r>
      <w:r>
        <w:rPr>
          <w:rFonts w:hint="eastAsia" w:ascii="仿宋_GB2312" w:eastAsia="仿宋_GB2312"/>
          <w:sz w:val="32"/>
          <w:szCs w:val="32"/>
          <w:lang w:val="en-US" w:eastAsia="zh-CN"/>
        </w:rPr>
        <w:t>相关工作内容</w:t>
      </w:r>
      <w:r>
        <w:rPr>
          <w:rFonts w:hint="eastAsia" w:ascii="仿宋_GB2312" w:eastAsia="仿宋_GB2312"/>
          <w:sz w:val="32"/>
          <w:szCs w:val="32"/>
        </w:rPr>
        <w:t>，相应减少</w:t>
      </w:r>
      <w:r>
        <w:rPr>
          <w:rFonts w:hint="eastAsia" w:ascii="仿宋_GB2312" w:eastAsia="仿宋_GB2312"/>
          <w:sz w:val="32"/>
          <w:szCs w:val="32"/>
          <w:lang w:val="en-US" w:eastAsia="zh-CN"/>
        </w:rPr>
        <w:t>项目预算</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基本支出预算826.21万元，占总支出预算39.68%，比2022年年初预算数756.46万元增加69.75万元，增长9.22%。</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项目支出预算1,256.0</w:t>
      </w:r>
      <w:r>
        <w:rPr>
          <w:rFonts w:ascii="仿宋_GB2312" w:eastAsia="仿宋_GB2312"/>
          <w:sz w:val="32"/>
          <w:szCs w:val="32"/>
        </w:rPr>
        <w:t>1</w:t>
      </w:r>
      <w:r>
        <w:rPr>
          <w:rFonts w:hint="eastAsia" w:ascii="仿宋_GB2312" w:eastAsia="仿宋_GB2312"/>
          <w:sz w:val="32"/>
          <w:szCs w:val="32"/>
        </w:rPr>
        <w:t>万元，占总支出预算60.32%，比2022年年初预算数1,546.61万元减少290.</w:t>
      </w:r>
      <w:r>
        <w:rPr>
          <w:rFonts w:ascii="仿宋_GB2312" w:eastAsia="仿宋_GB2312"/>
          <w:sz w:val="32"/>
          <w:szCs w:val="32"/>
        </w:rPr>
        <w:t>60</w:t>
      </w:r>
      <w:r>
        <w:rPr>
          <w:rFonts w:hint="eastAsia" w:ascii="仿宋_GB2312" w:eastAsia="仿宋_GB2312"/>
          <w:sz w:val="32"/>
          <w:szCs w:val="32"/>
        </w:rPr>
        <w:t>万元，下降18.79%。其中：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keepNext/>
        <w:keepLines/>
        <w:spacing w:before="100" w:beforeAutospacing="1" w:after="100" w:afterAutospacing="1"/>
        <w:ind w:firstLine="0"/>
        <w:jc w:val="center"/>
        <w:outlineLvl w:val="1"/>
        <w:rPr>
          <w:rFonts w:ascii="Cambria" w:hAnsi="Cambria" w:eastAsia="黑体" w:cs="Times New Roman"/>
          <w:b w:val="0"/>
          <w:bCs w:val="0"/>
          <w:color w:val="FF0000"/>
          <w:kern w:val="0"/>
          <w:sz w:val="36"/>
          <w:szCs w:val="32"/>
        </w:rPr>
      </w:pPr>
      <w:r>
        <w:rPr>
          <w:rFonts w:hint="eastAsia" w:ascii="仿宋_GB2312" w:hAnsi="Cambria" w:eastAsia="仿宋_GB2312" w:cs="Times New Roman"/>
          <w:b w:val="0"/>
          <w:bCs w:val="0"/>
          <w:kern w:val="0"/>
          <w:sz w:val="32"/>
          <w:szCs w:val="32"/>
        </w:rPr>
        <w:t>图2：基本支出和项目支出情况</w:t>
      </w:r>
    </w:p>
    <w:p>
      <w:pPr>
        <w:jc w:val="center"/>
      </w:pPr>
      <w:r>
        <w:drawing>
          <wp:inline distT="0" distB="0" distL="114300" distR="114300">
            <wp:extent cx="4769485" cy="2484755"/>
            <wp:effectExtent l="4445" t="5080" r="7620" b="571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jc w:val="center"/>
        <w:rPr>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北京技术市场管理办公室因公出国（境）费用、公务接待费、公务用车购置和运行维护费开支单位包括1个所属单位。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rPr>
        <w:t>2023年财政拨款“三公”经费预算2.57万元，比2022年财政拨款“三公”经费预算减</w:t>
      </w:r>
      <w:r>
        <w:rPr>
          <w:rFonts w:hint="eastAsia" w:ascii="仿宋_GB2312" w:eastAsia="仿宋_GB2312"/>
          <w:sz w:val="32"/>
          <w:szCs w:val="32"/>
          <w:highlight w:val="none"/>
        </w:rPr>
        <w:t>少0.0</w:t>
      </w:r>
      <w:r>
        <w:rPr>
          <w:rFonts w:hint="eastAsia" w:ascii="仿宋_GB2312" w:eastAsia="仿宋_GB2312"/>
          <w:sz w:val="32"/>
          <w:szCs w:val="32"/>
          <w:highlight w:val="none"/>
          <w:lang w:eastAsia="zh-CN"/>
        </w:rPr>
        <w:t>2</w:t>
      </w:r>
      <w:r>
        <w:rPr>
          <w:rFonts w:hint="eastAsia" w:ascii="仿宋_GB2312" w:eastAsia="仿宋_GB2312"/>
          <w:sz w:val="32"/>
          <w:szCs w:val="32"/>
          <w:highlight w:val="none"/>
        </w:rPr>
        <w:t>万元。其中：</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1.因公出国（境）费用。</w:t>
      </w:r>
      <w:r>
        <w:rPr>
          <w:rFonts w:hint="eastAsia" w:ascii="仿宋_GB2312" w:eastAsia="仿宋_GB2312"/>
          <w:color w:val="000000"/>
          <w:sz w:val="32"/>
          <w:szCs w:val="32"/>
          <w:highlight w:val="none"/>
        </w:rPr>
        <w:t>202</w:t>
      </w:r>
      <w:r>
        <w:rPr>
          <w:rFonts w:ascii="仿宋_GB2312" w:eastAsia="仿宋_GB2312"/>
          <w:color w:val="000000"/>
          <w:sz w:val="32"/>
          <w:szCs w:val="32"/>
          <w:highlight w:val="none"/>
        </w:rPr>
        <w:t>3</w:t>
      </w:r>
      <w:r>
        <w:rPr>
          <w:rFonts w:hint="eastAsia" w:ascii="仿宋_GB2312" w:eastAsia="仿宋_GB2312"/>
          <w:color w:val="000000"/>
          <w:sz w:val="32"/>
          <w:szCs w:val="32"/>
          <w:highlight w:val="none"/>
        </w:rPr>
        <w:t>年预算数0</w:t>
      </w:r>
      <w:r>
        <w:rPr>
          <w:rFonts w:ascii="仿宋_GB2312" w:eastAsia="仿宋_GB2312"/>
          <w:color w:val="000000"/>
          <w:sz w:val="32"/>
          <w:szCs w:val="32"/>
          <w:highlight w:val="none"/>
        </w:rPr>
        <w:t>.00</w:t>
      </w:r>
      <w:r>
        <w:rPr>
          <w:rFonts w:hint="eastAsia" w:ascii="仿宋_GB2312" w:eastAsia="仿宋_GB2312"/>
          <w:color w:val="000000"/>
          <w:sz w:val="32"/>
          <w:szCs w:val="32"/>
          <w:highlight w:val="none"/>
        </w:rPr>
        <w:t>万元，与2</w:t>
      </w:r>
      <w:r>
        <w:rPr>
          <w:rFonts w:ascii="仿宋_GB2312" w:eastAsia="仿宋_GB2312"/>
          <w:color w:val="000000"/>
          <w:sz w:val="32"/>
          <w:szCs w:val="32"/>
          <w:highlight w:val="none"/>
        </w:rPr>
        <w:t>022</w:t>
      </w:r>
      <w:r>
        <w:rPr>
          <w:rFonts w:hint="eastAsia" w:ascii="仿宋_GB2312" w:eastAsia="仿宋_GB2312"/>
          <w:color w:val="000000"/>
          <w:sz w:val="32"/>
          <w:szCs w:val="32"/>
          <w:highlight w:val="none"/>
        </w:rPr>
        <w:t>年年初预算数持平。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2.公务接待费。2023年预算数0.34万元，比2022年年初预算数0.36万元减少0.02万元，</w:t>
      </w:r>
      <w:bookmarkStart w:id="0" w:name="_GoBack"/>
      <w:bookmarkEnd w:id="0"/>
      <w:r>
        <w:rPr>
          <w:rFonts w:hint="eastAsia" w:ascii="仿宋_GB2312" w:eastAsia="仿宋_GB2312"/>
          <w:sz w:val="32"/>
          <w:szCs w:val="32"/>
          <w:highlight w:val="none"/>
        </w:rPr>
        <w:t>主要原因：落实政府“过紧日子”要求，进一步压减一般性支出。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2.22万元，其中，公务用车购置费2023年预算数0.00万元，与2022年年初预算数持平；公务用车运行维护费2023年预算数2.22万元，其中：公务用车燃油1.05万元，公务用车维修0.42万元，公务用车保险0.42万元，其他支出0.33万元。公务用车运行维护费与2022年年初预算数持平。</w:t>
      </w:r>
    </w:p>
    <w:p>
      <w:pPr>
        <w:keepNext w:val="0"/>
        <w:keepLines w:val="0"/>
        <w:pageBreakBefore w:val="0"/>
        <w:widowControl w:val="0"/>
        <w:kinsoku/>
        <w:wordWrap/>
        <w:overflowPunct/>
        <w:topLinePunct w:val="0"/>
        <w:autoSpaceDE/>
        <w:autoSpaceDN/>
        <w:bidi w:val="0"/>
        <w:adjustRightInd/>
        <w:snapToGrid/>
        <w:spacing w:before="235" w:beforeLines="75" w:line="560" w:lineRule="exact"/>
        <w:ind w:firstLine="640" w:firstLineChars="200"/>
        <w:textAlignment w:val="auto"/>
        <w:rPr>
          <w:rFonts w:hint="eastAsia"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2023年北京技术市场管理办公室政府采购预算总额385.16万元，其中：政府采购货物预算3.60万元，政府采购工程预算0.00万元，政府采购服务预算381.56万元。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2023年北京技术市场管理办公室1家参公管理事业单位的机关运行经费财政拨款预算81.80万元。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2023年，北京技术市场管理办公室填报绩效目标的预算项目3个，占本单位本年预算项目3个的100%。填报绩效目标的项目支出预算1,256.01万元，占本单位本年项目支出预算的100%。</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年底，北京技术市场管理办公室共有车辆1台，共计16.97万元；单位价值50万元以上的通用设备0台（套），共计0.00万元，单位价值100万元以上的专用设备0台（套）、共计0.00万元。</w:t>
      </w:r>
    </w:p>
    <w:p>
      <w:pPr>
        <w:keepNext w:val="0"/>
        <w:keepLines w:val="0"/>
        <w:pageBreakBefore w:val="0"/>
        <w:widowControl w:val="0"/>
        <w:kinsoku/>
        <w:wordWrap/>
        <w:overflowPunct/>
        <w:topLinePunct w:val="0"/>
        <w:autoSpaceDE/>
        <w:autoSpaceDN/>
        <w:bidi w:val="0"/>
        <w:adjustRightInd/>
        <w:snapToGrid/>
        <w:spacing w:before="235" w:beforeLines="75" w:line="560" w:lineRule="exact"/>
        <w:ind w:firstLine="640" w:firstLineChars="200"/>
        <w:textAlignment w:val="auto"/>
        <w:rPr>
          <w:rFonts w:hint="eastAsia" w:ascii="黑体" w:eastAsia="黑体"/>
          <w:color w:val="000000"/>
          <w:sz w:val="32"/>
          <w:szCs w:val="32"/>
        </w:rPr>
      </w:pPr>
      <w:r>
        <w:rPr>
          <w:rFonts w:hint="eastAsia" w:ascii="黑体" w:eastAsia="黑体"/>
          <w:color w:val="000000"/>
          <w:sz w:val="32"/>
          <w:szCs w:val="32"/>
          <w:lang w:val="en-US" w:eastAsia="zh-CN"/>
        </w:rPr>
        <w:t>六、</w:t>
      </w: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2"/>
        <w:rPr>
          <w:rFonts w:hint="eastAsia" w:ascii="仿宋_GB2312" w:eastAsia="仿宋_GB2312"/>
          <w:color w:val="000000"/>
          <w:sz w:val="32"/>
          <w:szCs w:val="32"/>
        </w:rPr>
      </w:pPr>
    </w:p>
    <w:p>
      <w:pPr>
        <w:pStyle w:val="2"/>
        <w:rPr>
          <w:rFonts w:hint="eastAsia" w:ascii="仿宋_GB2312" w:eastAsia="仿宋_GB2312"/>
          <w:color w:val="000000"/>
          <w:sz w:val="32"/>
          <w:szCs w:val="32"/>
        </w:rPr>
      </w:pPr>
    </w:p>
    <w:p>
      <w:pPr>
        <w:pStyle w:val="2"/>
        <w:rPr>
          <w:rFonts w:hint="eastAsia" w:ascii="仿宋_GB2312" w:eastAsia="仿宋_GB2312"/>
          <w:color w:val="000000"/>
          <w:sz w:val="32"/>
          <w:szCs w:val="32"/>
        </w:rPr>
      </w:pPr>
    </w:p>
    <w:p>
      <w:pPr>
        <w:pStyle w:val="2"/>
        <w:ind w:firstLine="420"/>
      </w:pPr>
    </w:p>
    <w:p>
      <w:pPr>
        <w:pStyle w:val="2"/>
        <w:ind w:firstLine="420"/>
        <w:rPr>
          <w:rFonts w:hint="eastAsia"/>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附件：北京技术市场管理办公室2023年预算公开附表</w:t>
      </w:r>
      <w:r>
        <w:rPr>
          <w:rFonts w:hint="eastAsia" w:ascii="仿宋_GB2312" w:eastAsia="仿宋_GB2312" w:cs="宋体"/>
          <w:color w:val="000000"/>
          <w:kern w:val="0"/>
          <w:sz w:val="32"/>
          <w:szCs w:val="32"/>
          <w:lang w:val="zh-CN"/>
        </w:rPr>
        <w:t xml:space="preserve"> </w:t>
      </w:r>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5B2E40"/>
    <w:multiLevelType w:val="singleLevel"/>
    <w:tmpl w:val="6E5B2E4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166682"/>
    <w:rsid w:val="001B2E2D"/>
    <w:rsid w:val="001F075F"/>
    <w:rsid w:val="001F1E7A"/>
    <w:rsid w:val="004062C2"/>
    <w:rsid w:val="004230FC"/>
    <w:rsid w:val="0046297F"/>
    <w:rsid w:val="00697EB7"/>
    <w:rsid w:val="00774F48"/>
    <w:rsid w:val="007B44E6"/>
    <w:rsid w:val="009939C1"/>
    <w:rsid w:val="009B3B0B"/>
    <w:rsid w:val="009D27FE"/>
    <w:rsid w:val="009D6C86"/>
    <w:rsid w:val="00AA0B9A"/>
    <w:rsid w:val="00B816FC"/>
    <w:rsid w:val="00BF4454"/>
    <w:rsid w:val="00C71728"/>
    <w:rsid w:val="00DA3E64"/>
    <w:rsid w:val="00F528D5"/>
    <w:rsid w:val="00F712F0"/>
    <w:rsid w:val="00F81D7C"/>
    <w:rsid w:val="017A19A1"/>
    <w:rsid w:val="017C2CB3"/>
    <w:rsid w:val="01A00569"/>
    <w:rsid w:val="042A5AF7"/>
    <w:rsid w:val="04447FB3"/>
    <w:rsid w:val="06EA15F1"/>
    <w:rsid w:val="07CD02C0"/>
    <w:rsid w:val="0B19782D"/>
    <w:rsid w:val="0C2C5114"/>
    <w:rsid w:val="0C7849F9"/>
    <w:rsid w:val="0D3A63F7"/>
    <w:rsid w:val="0E146C48"/>
    <w:rsid w:val="0E831EA3"/>
    <w:rsid w:val="0EA77855"/>
    <w:rsid w:val="0FE3246F"/>
    <w:rsid w:val="10F36FE9"/>
    <w:rsid w:val="119E466E"/>
    <w:rsid w:val="14144B0C"/>
    <w:rsid w:val="16EB30C7"/>
    <w:rsid w:val="16F629B9"/>
    <w:rsid w:val="17122D53"/>
    <w:rsid w:val="1731136C"/>
    <w:rsid w:val="19AF6DCC"/>
    <w:rsid w:val="1A691758"/>
    <w:rsid w:val="1B8970FB"/>
    <w:rsid w:val="1BC25DF0"/>
    <w:rsid w:val="1E6C3F37"/>
    <w:rsid w:val="1EE52218"/>
    <w:rsid w:val="1F6E507C"/>
    <w:rsid w:val="1FD53D5E"/>
    <w:rsid w:val="2074045F"/>
    <w:rsid w:val="20B81F0F"/>
    <w:rsid w:val="21896722"/>
    <w:rsid w:val="234D2B0B"/>
    <w:rsid w:val="27332718"/>
    <w:rsid w:val="27BE17EE"/>
    <w:rsid w:val="28DF395A"/>
    <w:rsid w:val="2907142C"/>
    <w:rsid w:val="29A97D58"/>
    <w:rsid w:val="2A252715"/>
    <w:rsid w:val="2A3654DB"/>
    <w:rsid w:val="2A4C2E6E"/>
    <w:rsid w:val="2B024961"/>
    <w:rsid w:val="2B5D17D7"/>
    <w:rsid w:val="2BD27A1E"/>
    <w:rsid w:val="2DF7718D"/>
    <w:rsid w:val="2EED4F50"/>
    <w:rsid w:val="2FD86E9B"/>
    <w:rsid w:val="307153DD"/>
    <w:rsid w:val="31401FA3"/>
    <w:rsid w:val="36154711"/>
    <w:rsid w:val="36CA5C2C"/>
    <w:rsid w:val="37582A72"/>
    <w:rsid w:val="3AF818B3"/>
    <w:rsid w:val="3B750EE5"/>
    <w:rsid w:val="3C587DD4"/>
    <w:rsid w:val="3FED6525"/>
    <w:rsid w:val="40006B4D"/>
    <w:rsid w:val="42FB6058"/>
    <w:rsid w:val="43364990"/>
    <w:rsid w:val="478D08F6"/>
    <w:rsid w:val="49077CB8"/>
    <w:rsid w:val="498D4675"/>
    <w:rsid w:val="4C740363"/>
    <w:rsid w:val="4DA66A4D"/>
    <w:rsid w:val="4E367CEF"/>
    <w:rsid w:val="4EE01C53"/>
    <w:rsid w:val="4F24642B"/>
    <w:rsid w:val="4F383E2F"/>
    <w:rsid w:val="4F6935E0"/>
    <w:rsid w:val="50FB7F6E"/>
    <w:rsid w:val="5209265C"/>
    <w:rsid w:val="55926977"/>
    <w:rsid w:val="57185E36"/>
    <w:rsid w:val="57BD5228"/>
    <w:rsid w:val="583D1DD1"/>
    <w:rsid w:val="58971F5B"/>
    <w:rsid w:val="59B92E21"/>
    <w:rsid w:val="5A162CF0"/>
    <w:rsid w:val="5A752689"/>
    <w:rsid w:val="5BE81245"/>
    <w:rsid w:val="5C1B251D"/>
    <w:rsid w:val="5E03083C"/>
    <w:rsid w:val="5E224753"/>
    <w:rsid w:val="5EE5465C"/>
    <w:rsid w:val="5F07071D"/>
    <w:rsid w:val="60E66B0E"/>
    <w:rsid w:val="61611A47"/>
    <w:rsid w:val="61EA10F7"/>
    <w:rsid w:val="62422353"/>
    <w:rsid w:val="637235DB"/>
    <w:rsid w:val="63BC79DF"/>
    <w:rsid w:val="644C132A"/>
    <w:rsid w:val="64504D2E"/>
    <w:rsid w:val="65406257"/>
    <w:rsid w:val="66AF572C"/>
    <w:rsid w:val="67546BF3"/>
    <w:rsid w:val="68B90674"/>
    <w:rsid w:val="69004F74"/>
    <w:rsid w:val="6F50511D"/>
    <w:rsid w:val="7007308C"/>
    <w:rsid w:val="70EF1F9B"/>
    <w:rsid w:val="718B3E8F"/>
    <w:rsid w:val="72D93BA9"/>
    <w:rsid w:val="72E71F35"/>
    <w:rsid w:val="72FB2E21"/>
    <w:rsid w:val="75112A0C"/>
    <w:rsid w:val="78A74CC3"/>
    <w:rsid w:val="7B68086A"/>
    <w:rsid w:val="7CF23E27"/>
    <w:rsid w:val="7D0B0AC6"/>
    <w:rsid w:val="7E183749"/>
    <w:rsid w:val="7EBE3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link w:val="15"/>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4"/>
    <w:next w:val="4"/>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标题 2 字符"/>
    <w:basedOn w:val="9"/>
    <w:link w:val="3"/>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字符"/>
    <w:basedOn w:val="9"/>
    <w:link w:val="4"/>
    <w:qFormat/>
    <w:uiPriority w:val="99"/>
    <w:rPr>
      <w:rFonts w:ascii="Times New Roman" w:hAnsi="Times New Roman" w:eastAsia="宋体" w:cs="Droid Sans"/>
      <w:szCs w:val="24"/>
    </w:rPr>
  </w:style>
  <w:style w:type="character" w:customStyle="1" w:styleId="16">
    <w:name w:val="批注主题 字符"/>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zh-CN" altLang="en-US" b="1">
                <a:latin typeface="微软雅黑" panose="020B0503020204020204" charset="-122"/>
                <a:ea typeface="微软雅黑" panose="020B0503020204020204" charset="-122"/>
                <a:cs typeface="微软雅黑" panose="020B0503020204020204" charset="-122"/>
                <a:sym typeface="微软雅黑" panose="020B0503020204020204" charset="-122"/>
              </a:rPr>
              <a:t>收入预算</a:t>
            </a:r>
            <a:endParaRPr lang="zh-CN" altLang="en-US" b="1">
              <a:latin typeface="微软雅黑" panose="020B0503020204020204" charset="-122"/>
              <a:ea typeface="微软雅黑" panose="020B0503020204020204" charset="-122"/>
              <a:cs typeface="微软雅黑" panose="020B0503020204020204" charset="-122"/>
              <a:sym typeface="微软雅黑" panose="020B0503020204020204" charset="-122"/>
            </a:endParaRP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en-US" altLang="zh-CN">
                        <a:solidFill>
                          <a:schemeClr val="bg1"/>
                        </a:solidFill>
                        <a:latin typeface="微软雅黑" panose="020B0503020204020204" charset="-122"/>
                        <a:ea typeface="微软雅黑" panose="020B0503020204020204" charset="-122"/>
                        <a:cs typeface="微软雅黑" panose="020B0503020204020204" charset="-122"/>
                        <a:sym typeface="微软雅黑" panose="020B0503020204020204" charset="-122"/>
                      </a:rPr>
                      <a:t>95.69%</a:t>
                    </a:r>
                    <a:endParaRPr lang="en-US" altLang="zh-CN">
                      <a:solidFill>
                        <a:schemeClr val="bg1"/>
                      </a:solidFill>
                      <a:latin typeface="微软雅黑" panose="020B0503020204020204" charset="-122"/>
                      <a:ea typeface="微软雅黑" panose="020B0503020204020204" charset="-122"/>
                      <a:cs typeface="微软雅黑" panose="020B0503020204020204" charset="-122"/>
                      <a:sym typeface="微软雅黑" panose="020B0503020204020204" charset="-122"/>
                    </a:endParaRPr>
                  </a:p>
                </c:rich>
              </c:tx>
              <c:numFmt formatCode="0.00%" sourceLinked="0"/>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1"/>
              <c:layout/>
              <c:numFmt formatCode="0.00%" sourceLinked="0"/>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[工作簿1]Sheet1!$B$2:$B$3</c:f>
              <c:strCache>
                <c:ptCount val="2"/>
                <c:pt idx="0">
                  <c:v>一般公共预算拨款收入</c:v>
                </c:pt>
                <c:pt idx="1">
                  <c:v>上年结转结余</c:v>
                </c:pt>
              </c:strCache>
            </c:strRef>
          </c:cat>
          <c:val>
            <c:numRef>
              <c:f>[工作簿1]Sheet1!$C$2:$C$3</c:f>
              <c:numCache>
                <c:formatCode>#,##0.00</c:formatCode>
                <c:ptCount val="2"/>
                <c:pt idx="0">
                  <c:v>1992.52</c:v>
                </c:pt>
                <c:pt idx="1" c:formatCode="General">
                  <c:v>89.71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1"/>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ayout>
        <c:manualLayout>
          <c:xMode val="edge"/>
          <c:yMode val="edge"/>
          <c:x val="0.691111111111111"/>
          <c:y val="0.471527777777778"/>
        </c:manualLayout>
      </c:layout>
      <c:overlay val="0"/>
      <c:spPr>
        <a:noFill/>
        <a:ln>
          <a:noFill/>
        </a:ln>
        <a:effectLst/>
      </c:spPr>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b="1">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1" i="0" u="none" strike="noStrike" kern="1200" baseline="0">
                        <a:solidFill>
                          <a:schemeClr val="tx1">
                            <a:lumMod val="75000"/>
                            <a:lumOff val="25000"/>
                          </a:schemeClr>
                        </a:solidFill>
                        <a:latin typeface="方正小标宋_GBK" panose="02000000000000000000" charset="-122"/>
                        <a:ea typeface="方正小标宋_GBK" panose="02000000000000000000" charset="-122"/>
                        <a:cs typeface="方正小标宋_GBK" panose="02000000000000000000" charset="-122"/>
                        <a:sym typeface="方正小标宋_GBK" panose="02000000000000000000" charset="-122"/>
                      </a:defRPr>
                    </a:pPr>
                    <a:r>
                      <a:rPr lang="en-US" altLang="zh-CN">
                        <a:solidFill>
                          <a:schemeClr val="bg1"/>
                        </a:solidFill>
                      </a:rPr>
                      <a:t>39.68%</a:t>
                    </a:r>
                    <a:endParaRPr lang="en-US" altLang="zh-CN">
                      <a:solidFill>
                        <a:schemeClr val="bg1"/>
                      </a:solidFill>
                    </a:endParaRPr>
                  </a:p>
                </c:rich>
              </c:tx>
              <c:numFmt formatCode="0.00%" sourceLinked="0"/>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方正小标宋_GBK" panose="02000000000000000000" charset="-122"/>
                      <a:ea typeface="方正小标宋_GBK" panose="02000000000000000000" charset="-122"/>
                      <a:cs typeface="方正小标宋_GBK" panose="02000000000000000000" charset="-122"/>
                      <a:sym typeface="方正小标宋_GBK" panose="02000000000000000000" charset="-122"/>
                    </a:defRPr>
                  </a:pPr>
                </a:p>
              </c:txPr>
              <c:dLblPos val="inEnd"/>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仿宋" panose="02010609060101010101" pitchFamily="3" charset="-122"/>
                    <a:ea typeface="仿宋" panose="02010609060101010101" pitchFamily="3" charset="-122"/>
                    <a:cs typeface="仿宋" panose="02010609060101010101" pitchFamily="3" charset="-122"/>
                    <a:sym typeface="仿宋" panose="02010609060101010101" pitchFamily="3" charset="-122"/>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[工作簿1]Sheet2!$B$2:$B$3</c:f>
              <c:strCache>
                <c:ptCount val="2"/>
                <c:pt idx="0">
                  <c:v>基本支出</c:v>
                </c:pt>
                <c:pt idx="1">
                  <c:v>项目支出</c:v>
                </c:pt>
              </c:strCache>
            </c:strRef>
          </c:cat>
          <c:val>
            <c:numRef>
              <c:f>[工作簿1]Sheet2!$C$2:$C$3</c:f>
              <c:numCache>
                <c:formatCode>General</c:formatCode>
                <c:ptCount val="2"/>
                <c:pt idx="0">
                  <c:v>826.21</c:v>
                </c:pt>
                <c:pt idx="1" c:formatCode="#,##0.00">
                  <c:v>1256.02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仿宋" panose="02010609060101010101" pitchFamily="3" charset="-122"/>
                <a:ea typeface="仿宋" panose="02010609060101010101" pitchFamily="3" charset="-122"/>
                <a:cs typeface="仿宋" panose="02010609060101010101" pitchFamily="3" charset="-122"/>
                <a:sym typeface="仿宋" panose="02010609060101010101" pitchFamily="3" charset="-122"/>
              </a:defRPr>
            </a:pPr>
          </a:p>
        </c:txPr>
      </c:legendEntry>
      <c:legendEntry>
        <c:idx val="1"/>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仿宋" panose="02010609060101010101" pitchFamily="3" charset="-122"/>
                <a:ea typeface="仿宋" panose="02010609060101010101" pitchFamily="3" charset="-122"/>
                <a:cs typeface="仿宋" panose="02010609060101010101" pitchFamily="3" charset="-122"/>
                <a:sym typeface="仿宋" panose="02010609060101010101" pitchFamily="3" charset="-122"/>
              </a:defRPr>
            </a:pPr>
          </a:p>
        </c:txPr>
      </c:legendEntry>
      <c:layout/>
      <c:overlay val="0"/>
      <c:spPr>
        <a:noFill/>
        <a:ln>
          <a:noFill/>
        </a:ln>
        <a:effectLst/>
      </c:spPr>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仿宋" panose="02010609060101010101" pitchFamily="3" charset="-122"/>
              <a:ea typeface="仿宋" panose="02010609060101010101" pitchFamily="3" charset="-122"/>
              <a:cs typeface="仿宋" panose="02010609060101010101" pitchFamily="3" charset="-122"/>
              <a:sym typeface="仿宋" panose="02010609060101010101" pitchFamily="3"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latin typeface="方正小标宋_GBK" panose="02000000000000000000" charset="-122"/>
          <a:ea typeface="方正小标宋_GBK" panose="02000000000000000000" charset="-122"/>
          <a:cs typeface="方正小标宋_GBK" panose="02000000000000000000" charset="-122"/>
          <a:sym typeface="方正小标宋_GBK" panose="02000000000000000000"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C820C-FA99-4654-96F6-FD812A43DD38}">
  <ds:schemaRefs/>
</ds:datastoreItem>
</file>

<file path=docProps/app.xml><?xml version="1.0" encoding="utf-8"?>
<Properties xmlns="http://schemas.openxmlformats.org/officeDocument/2006/extended-properties" xmlns:vt="http://schemas.openxmlformats.org/officeDocument/2006/docPropsVTypes">
  <Template>Normal</Template>
  <Pages>7</Pages>
  <Words>2223</Words>
  <Characters>2578</Characters>
  <Lines>18</Lines>
  <Paragraphs>5</Paragraphs>
  <TotalTime>103</TotalTime>
  <ScaleCrop>false</ScaleCrop>
  <LinksUpToDate>false</LinksUpToDate>
  <CharactersWithSpaces>2604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2023-02-14T02:16:00Z</dcterms:created>
  <dc:creator>马 亚文</dc:creator>
  <cp:lastModifiedBy>leo-yao</cp:lastModifiedBy>
  <dcterms:modified xsi:type="dcterms:W3CDTF">2023-02-22T06:26:53Z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968C63224B73496583A90E6F34A98860</vt:lpwstr>
  </property>
</Properties>
</file>