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bookmarkStart w:id="0" w:name="_GoBack"/>
      <w:bookmarkEnd w:id="0"/>
      <w:r>
        <w:rPr>
          <w:rFonts w:hint="eastAsia" w:ascii="方正小标宋简体" w:eastAsia="方正小标宋简体"/>
          <w:color w:val="000000"/>
          <w:sz w:val="36"/>
          <w:szCs w:val="36"/>
        </w:rPr>
        <w:t>北京科技创新研究中心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sectPr>
          <w:footerReference r:id="rId3" w:type="default"/>
          <w:pgSz w:w="11906" w:h="16838"/>
          <w:pgMar w:top="1440" w:right="1800" w:bottom="1440" w:left="1800" w:header="851" w:footer="992" w:gutter="0"/>
          <w:cols w:space="425" w:num="1"/>
          <w:docGrid w:type="lines" w:linePitch="312" w:charSpace="0"/>
        </w:sect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pPr>
      <w:r>
        <w:rPr>
          <w:rFonts w:hint="eastAsia" w:ascii="仿宋_GB2312" w:hAnsi="仿宋_GB2312" w:eastAsia="仿宋_GB2312" w:cs="仿宋_GB2312"/>
          <w:color w:val="000000"/>
          <w:sz w:val="32"/>
          <w:szCs w:val="32"/>
        </w:rPr>
        <w:t>根据《中共北京市委机构编制委员会办公室关于同意调整市科委所属部分事业单位的函》（京编办事[2019]144号），设立北京科技创新研究中心，是市科委、中关村管委会所属正处级公益一类事业单位。根据北京市科学技术委员会、中关村科技园区管理委员会《关于保留北京科技创新研究中心的通知》（京科人发[2021]189号），主要职责：承担国际科技创新中心、中关村国家自主创新示范区的战略、规划、政策研究工作，科技统计分析和指标监测工作，“三城一区”联系服务等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napToGrid w:val="0"/>
        <w:spacing w:line="520" w:lineRule="exact"/>
        <w:ind w:firstLine="640" w:firstLineChars="200"/>
        <w:rPr>
          <w:rFonts w:ascii="仿宋_GB2312" w:hAnsi="仿宋" w:eastAsia="仿宋_GB2312"/>
          <w:sz w:val="32"/>
          <w:szCs w:val="32"/>
        </w:rPr>
      </w:pPr>
      <w:r>
        <w:rPr>
          <w:rFonts w:hint="eastAsia" w:ascii="仿宋_GB2312" w:hAnsi="仿宋_GB2312" w:eastAsia="仿宋_GB2312" w:cs="仿宋_GB2312"/>
          <w:color w:val="000000"/>
          <w:sz w:val="32"/>
          <w:szCs w:val="32"/>
        </w:rPr>
        <w:t>北京科技创新研究中心下设</w:t>
      </w:r>
      <w:r>
        <w:rPr>
          <w:rFonts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rPr>
        <w:t>个部门，分别是综合管理部、发展研究部、政策研究部、决策研究部、统计分析部、创新评价部和协调联络部。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北京科技创新研究中心事业编制</w:t>
      </w:r>
      <w:r>
        <w:rPr>
          <w:rFonts w:ascii="仿宋_GB2312" w:hAnsi="仿宋_GB2312" w:eastAsia="仿宋_GB2312" w:cs="仿宋_GB2312"/>
          <w:color w:val="000000"/>
          <w:sz w:val="32"/>
          <w:szCs w:val="32"/>
        </w:rPr>
        <w:t>51</w:t>
      </w:r>
      <w:r>
        <w:rPr>
          <w:rFonts w:hint="eastAsia" w:ascii="仿宋_GB2312" w:hAnsi="仿宋_GB2312" w:eastAsia="仿宋_GB2312" w:cs="仿宋_GB2312"/>
          <w:color w:val="000000"/>
          <w:sz w:val="32"/>
          <w:szCs w:val="32"/>
        </w:rPr>
        <w:t>人，实</w:t>
      </w:r>
      <w:r>
        <w:rPr>
          <w:rFonts w:hint="eastAsia" w:ascii="仿宋_GB2312" w:eastAsia="仿宋_GB2312"/>
          <w:color w:val="000000"/>
          <w:sz w:val="32"/>
          <w:szCs w:val="32"/>
        </w:rPr>
        <w:t>有人数</w:t>
      </w:r>
      <w:r>
        <w:rPr>
          <w:rFonts w:ascii="仿宋_GB2312" w:hAnsi="仿宋_GB2312" w:eastAsia="仿宋_GB2312" w:cs="仿宋_GB2312"/>
          <w:color w:val="000000"/>
          <w:sz w:val="32"/>
          <w:szCs w:val="32"/>
        </w:rPr>
        <w:t>44</w:t>
      </w:r>
      <w:r>
        <w:rPr>
          <w:rFonts w:hint="eastAsia" w:ascii="仿宋_GB2312" w:hAnsi="仿宋_GB2312" w:eastAsia="仿宋_GB2312" w:cs="仿宋_GB2312"/>
          <w:color w:val="000000"/>
          <w:sz w:val="32"/>
          <w:szCs w:val="32"/>
        </w:rPr>
        <w:t>人；离退休人员</w:t>
      </w:r>
      <w:r>
        <w:rPr>
          <w:rFonts w:ascii="仿宋_GB2312" w:hAnsi="仿宋_GB2312" w:eastAsia="仿宋_GB2312" w:cs="仿宋_GB2312"/>
          <w:color w:val="000000"/>
          <w:sz w:val="32"/>
          <w:szCs w:val="32"/>
        </w:rPr>
        <w:t>0</w:t>
      </w:r>
      <w:r>
        <w:rPr>
          <w:rFonts w:hint="eastAsia" w:ascii="仿宋_GB2312" w:hAnsi="仿宋_GB2312" w:eastAsia="仿宋_GB2312" w:cs="仿宋_GB2312"/>
          <w:color w:val="000000"/>
          <w:sz w:val="32"/>
          <w:szCs w:val="32"/>
        </w:rPr>
        <w:t>人，其中：离休人员0人，退休人员0人。</w:t>
      </w:r>
    </w:p>
    <w:p>
      <w:pPr>
        <w:spacing w:line="560" w:lineRule="exact"/>
        <w:ind w:firstLine="640" w:firstLineChars="200"/>
        <w:rPr>
          <w:rFonts w:ascii="仿宋_GB2312" w:eastAsia="仿宋_GB2312"/>
          <w:sz w:val="32"/>
          <w:szCs w:val="32"/>
        </w:rPr>
      </w:pPr>
      <w:r>
        <w:rPr>
          <w:rFonts w:hint="eastAsia" w:ascii="黑体" w:eastAsia="黑体"/>
          <w:color w:val="000000"/>
          <w:sz w:val="32"/>
          <w:szCs w:val="32"/>
        </w:rPr>
        <w:t>二、收入预算情况说明</w:t>
      </w:r>
    </w:p>
    <w:p>
      <w:pPr>
        <w:adjustRightInd w:val="0"/>
        <w:snapToGrid w:val="0"/>
        <w:spacing w:line="560" w:lineRule="exact"/>
        <w:ind w:firstLine="640" w:firstLineChars="200"/>
        <w:rPr>
          <w:rFonts w:ascii="仿宋_GB2312" w:eastAsia="仿宋_GB2312"/>
          <w:color w:val="FFC000"/>
          <w:sz w:val="32"/>
          <w:szCs w:val="32"/>
        </w:rPr>
      </w:pPr>
      <w:r>
        <w:rPr>
          <w:rFonts w:hint="eastAsia" w:ascii="仿宋_GB2312" w:eastAsia="仿宋_GB2312"/>
          <w:sz w:val="32"/>
          <w:szCs w:val="32"/>
        </w:rPr>
        <w:t>2023年度收入预算</w:t>
      </w:r>
      <w:r>
        <w:rPr>
          <w:rFonts w:ascii="仿宋_GB2312" w:eastAsia="仿宋_GB2312"/>
          <w:sz w:val="32"/>
          <w:szCs w:val="32"/>
        </w:rPr>
        <w:t>2,206.19</w:t>
      </w:r>
      <w:r>
        <w:rPr>
          <w:rFonts w:hint="eastAsia" w:ascii="仿宋_GB2312" w:eastAsia="仿宋_GB2312"/>
          <w:sz w:val="32"/>
          <w:szCs w:val="32"/>
        </w:rPr>
        <w:t>万元，比2022年年初预算数</w:t>
      </w:r>
      <w:r>
        <w:rPr>
          <w:rFonts w:ascii="仿宋_GB2312" w:eastAsia="仿宋_GB2312"/>
          <w:sz w:val="32"/>
          <w:szCs w:val="32"/>
        </w:rPr>
        <w:t>2,136.15</w:t>
      </w:r>
      <w:r>
        <w:rPr>
          <w:rFonts w:hint="eastAsia" w:ascii="仿宋_GB2312" w:eastAsia="仿宋_GB2312"/>
          <w:sz w:val="32"/>
          <w:szCs w:val="32"/>
        </w:rPr>
        <w:t>万元增加</w:t>
      </w:r>
      <w:r>
        <w:rPr>
          <w:rFonts w:ascii="仿宋_GB2312" w:eastAsia="仿宋_GB2312"/>
          <w:sz w:val="32"/>
          <w:szCs w:val="32"/>
        </w:rPr>
        <w:t>70.04</w:t>
      </w:r>
      <w:r>
        <w:rPr>
          <w:rFonts w:hint="eastAsia" w:ascii="仿宋_GB2312" w:eastAsia="仿宋_GB2312"/>
          <w:sz w:val="32"/>
          <w:szCs w:val="32"/>
        </w:rPr>
        <w:t>万元，增长3</w:t>
      </w:r>
      <w:r>
        <w:rPr>
          <w:rFonts w:ascii="仿宋_GB2312" w:eastAsia="仿宋_GB2312"/>
          <w:sz w:val="32"/>
          <w:szCs w:val="32"/>
        </w:rPr>
        <w:t>.28</w:t>
      </w:r>
      <w:r>
        <w:rPr>
          <w:rFonts w:hint="eastAsia" w:ascii="仿宋_GB2312" w:eastAsia="仿宋_GB2312"/>
          <w:sz w:val="32"/>
          <w:szCs w:val="32"/>
        </w:rPr>
        <w:t>%。主要原因：落实全市统一政策要求,继续消化使用上年基本支出经费结转资金</w:t>
      </w:r>
      <w:r>
        <w:rPr>
          <w:rFonts w:hint="eastAsia" w:ascii="仿宋_GB2312" w:hAnsi="仿宋"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（一）本年财政拨款收入2,077.52万元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1.一般公共预算拨款收入2,077.52万元。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0.00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（三）上年结转结余128.67万元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ascii="仿宋_GB2312" w:eastAsia="仿宋_GB2312"/>
          <w:sz w:val="32"/>
          <w:szCs w:val="32"/>
        </w:rPr>
        <w:t>128.67</w:t>
      </w:r>
      <w:r>
        <w:rPr>
          <w:rFonts w:hint="eastAsia" w:ascii="仿宋_GB2312" w:eastAsia="仿宋_GB2312"/>
          <w:sz w:val="32"/>
          <w:szCs w:val="32"/>
        </w:rPr>
        <w:t>万元。</w:t>
      </w:r>
    </w:p>
    <w:p>
      <w:pPr>
        <w:pStyle w:val="2"/>
        <w:spacing w:before="0" w:beforeAutospacing="0" w:after="0" w:afterAutospacing="0" w:line="560" w:lineRule="exact"/>
        <w:jc w:val="center"/>
        <w:rPr>
          <w:b w:val="0"/>
          <w:bCs w:val="0"/>
        </w:rPr>
      </w:pPr>
      <w:r>
        <w:rPr>
          <w:rFonts w:hint="eastAsia" w:ascii="仿宋_GB2312" w:eastAsia="仿宋_GB2312"/>
          <w:b w:val="0"/>
          <w:bCs w:val="0"/>
          <w:sz w:val="32"/>
        </w:rPr>
        <w:t>图1：收入预算</w:t>
      </w:r>
    </w:p>
    <w:p>
      <w:pPr>
        <w:ind w:firstLine="420" w:firstLineChars="200"/>
        <w:jc w:val="center"/>
      </w:pPr>
      <w:r>
        <w:drawing>
          <wp:inline distT="0" distB="0" distL="0" distR="0">
            <wp:extent cx="4686300" cy="2743200"/>
            <wp:effectExtent l="0" t="0" r="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adjustRightInd w:val="0"/>
        <w:snapToGrid w:val="0"/>
        <w:spacing w:line="560" w:lineRule="exact"/>
        <w:ind w:firstLine="640" w:firstLineChars="200"/>
        <w:rPr>
          <w:rFonts w:ascii="仿宋_GB2312" w:eastAsia="仿宋_GB2312"/>
          <w:color w:val="FFC000"/>
          <w:sz w:val="32"/>
          <w:szCs w:val="32"/>
        </w:rPr>
      </w:pPr>
      <w:r>
        <w:rPr>
          <w:rFonts w:hint="eastAsia" w:ascii="仿宋_GB2312" w:eastAsia="仿宋_GB2312"/>
          <w:sz w:val="32"/>
          <w:szCs w:val="32"/>
        </w:rPr>
        <w:t>2023年支出预算</w:t>
      </w:r>
      <w:r>
        <w:rPr>
          <w:rFonts w:ascii="仿宋_GB2312" w:eastAsia="仿宋_GB2312"/>
          <w:sz w:val="32"/>
          <w:szCs w:val="32"/>
        </w:rPr>
        <w:t>2,206.19</w:t>
      </w:r>
      <w:r>
        <w:rPr>
          <w:rFonts w:hint="eastAsia" w:ascii="仿宋_GB2312" w:eastAsia="仿宋_GB2312"/>
          <w:sz w:val="32"/>
          <w:szCs w:val="32"/>
        </w:rPr>
        <w:t>万元，比2022年年初预算数</w:t>
      </w:r>
      <w:r>
        <w:rPr>
          <w:rFonts w:ascii="仿宋_GB2312" w:eastAsia="仿宋_GB2312"/>
          <w:sz w:val="32"/>
          <w:szCs w:val="32"/>
        </w:rPr>
        <w:t>2,136.15</w:t>
      </w:r>
      <w:r>
        <w:rPr>
          <w:rFonts w:hint="eastAsia" w:ascii="仿宋_GB2312" w:eastAsia="仿宋_GB2312"/>
          <w:sz w:val="32"/>
          <w:szCs w:val="32"/>
        </w:rPr>
        <w:t>万元增加7</w:t>
      </w:r>
      <w:r>
        <w:rPr>
          <w:rFonts w:ascii="仿宋_GB2312" w:eastAsia="仿宋_GB2312"/>
          <w:sz w:val="32"/>
          <w:szCs w:val="32"/>
        </w:rPr>
        <w:t>0.04</w:t>
      </w:r>
      <w:r>
        <w:rPr>
          <w:rFonts w:hint="eastAsia" w:ascii="仿宋_GB2312" w:eastAsia="仿宋_GB2312"/>
          <w:sz w:val="32"/>
          <w:szCs w:val="32"/>
        </w:rPr>
        <w:t>万元，增长3</w:t>
      </w:r>
      <w:r>
        <w:rPr>
          <w:rFonts w:ascii="仿宋_GB2312" w:eastAsia="仿宋_GB2312"/>
          <w:sz w:val="32"/>
          <w:szCs w:val="32"/>
        </w:rPr>
        <w:t>.28</w:t>
      </w:r>
      <w:r>
        <w:rPr>
          <w:rFonts w:hint="eastAsia" w:ascii="仿宋_GB2312" w:eastAsia="仿宋_GB2312"/>
          <w:sz w:val="32"/>
          <w:szCs w:val="32"/>
        </w:rPr>
        <w:t>%。主要原因：落实全市统一政策要求,继续消化使用上年基本支出经费结转资金</w:t>
      </w:r>
      <w:r>
        <w:rPr>
          <w:rFonts w:hint="eastAsia" w:ascii="仿宋_GB2312" w:hAnsi="仿宋" w:eastAsia="仿宋_GB2312"/>
          <w:sz w:val="32"/>
          <w:szCs w:val="32"/>
        </w:rPr>
        <w:t>。</w:t>
      </w:r>
    </w:p>
    <w:p>
      <w:pPr>
        <w:spacing w:line="560" w:lineRule="exact"/>
        <w:ind w:firstLine="556"/>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1,897.93</w:t>
      </w:r>
      <w:r>
        <w:rPr>
          <w:rFonts w:hint="eastAsia" w:ascii="仿宋_GB2312" w:eastAsia="仿宋_GB2312"/>
          <w:sz w:val="32"/>
          <w:szCs w:val="32"/>
        </w:rPr>
        <w:t>万元，占总支出预算</w:t>
      </w:r>
      <w:r>
        <w:rPr>
          <w:rFonts w:ascii="仿宋_GB2312" w:eastAsia="仿宋_GB2312"/>
          <w:sz w:val="32"/>
          <w:szCs w:val="32"/>
        </w:rPr>
        <w:t>86.03</w:t>
      </w:r>
      <w:r>
        <w:rPr>
          <w:rFonts w:hint="eastAsia" w:ascii="仿宋_GB2312" w:eastAsia="仿宋_GB2312"/>
          <w:sz w:val="32"/>
          <w:szCs w:val="32"/>
        </w:rPr>
        <w:t>%，比2022年年初预算数</w:t>
      </w:r>
      <w:r>
        <w:rPr>
          <w:rFonts w:ascii="仿宋_GB2312" w:eastAsia="仿宋_GB2312"/>
          <w:sz w:val="32"/>
          <w:szCs w:val="32"/>
        </w:rPr>
        <w:t>1,785.80</w:t>
      </w:r>
      <w:r>
        <w:rPr>
          <w:rFonts w:hint="eastAsia" w:ascii="仿宋_GB2312" w:eastAsia="仿宋_GB2312"/>
          <w:sz w:val="32"/>
          <w:szCs w:val="32"/>
        </w:rPr>
        <w:t>万元增加1</w:t>
      </w:r>
      <w:r>
        <w:rPr>
          <w:rFonts w:ascii="仿宋_GB2312" w:eastAsia="仿宋_GB2312"/>
          <w:sz w:val="32"/>
          <w:szCs w:val="32"/>
        </w:rPr>
        <w:t>12.13万元</w:t>
      </w:r>
      <w:r>
        <w:rPr>
          <w:rFonts w:hint="eastAsia" w:ascii="仿宋_GB2312" w:eastAsia="仿宋_GB2312"/>
          <w:sz w:val="32"/>
          <w:szCs w:val="32"/>
        </w:rPr>
        <w:t>，增长</w:t>
      </w:r>
      <w:r>
        <w:rPr>
          <w:rFonts w:ascii="仿宋_GB2312" w:eastAsia="仿宋_GB2312"/>
          <w:sz w:val="32"/>
          <w:szCs w:val="32"/>
        </w:rPr>
        <w:t>6.28</w:t>
      </w:r>
      <w:r>
        <w:rPr>
          <w:rFonts w:hint="eastAsia" w:ascii="仿宋_GB2312" w:eastAsia="仿宋_GB2312"/>
          <w:sz w:val="32"/>
          <w:szCs w:val="32"/>
        </w:rPr>
        <w:t>%。</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308.25</w:t>
      </w:r>
      <w:r>
        <w:rPr>
          <w:rFonts w:hint="eastAsia" w:ascii="仿宋_GB2312" w:eastAsia="仿宋_GB2312"/>
          <w:sz w:val="32"/>
          <w:szCs w:val="32"/>
        </w:rPr>
        <w:t>万元，比2022年年初预算数</w:t>
      </w:r>
      <w:r>
        <w:rPr>
          <w:rFonts w:ascii="仿宋_GB2312" w:eastAsia="仿宋_GB2312"/>
          <w:sz w:val="32"/>
          <w:szCs w:val="32"/>
        </w:rPr>
        <w:t>350.35</w:t>
      </w:r>
      <w:r>
        <w:rPr>
          <w:rFonts w:hint="eastAsia" w:ascii="仿宋_GB2312" w:eastAsia="仿宋_GB2312"/>
          <w:sz w:val="32"/>
          <w:szCs w:val="32"/>
        </w:rPr>
        <w:t>万元减少4</w:t>
      </w:r>
      <w:r>
        <w:rPr>
          <w:rFonts w:ascii="仿宋_GB2312" w:eastAsia="仿宋_GB2312"/>
          <w:sz w:val="32"/>
          <w:szCs w:val="32"/>
        </w:rPr>
        <w:t>2.10</w:t>
      </w:r>
      <w:r>
        <w:rPr>
          <w:rFonts w:hint="eastAsia" w:ascii="仿宋_GB2312" w:eastAsia="仿宋_GB2312"/>
          <w:sz w:val="32"/>
          <w:szCs w:val="32"/>
        </w:rPr>
        <w:t>万元，下降1</w:t>
      </w:r>
      <w:r>
        <w:rPr>
          <w:rFonts w:ascii="仿宋_GB2312" w:eastAsia="仿宋_GB2312"/>
          <w:sz w:val="32"/>
          <w:szCs w:val="32"/>
        </w:rPr>
        <w:t>2.02</w:t>
      </w:r>
      <w:r>
        <w:rPr>
          <w:rFonts w:hint="eastAsia" w:ascii="仿宋_GB2312" w:eastAsia="仿宋_GB2312"/>
          <w:sz w:val="32"/>
          <w:szCs w:val="32"/>
        </w:rPr>
        <w:t>%。</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w:t>
      </w:r>
      <w:r>
        <w:rPr>
          <w:rFonts w:ascii="仿宋_GB2312" w:eastAsia="仿宋_GB2312"/>
          <w:sz w:val="32"/>
          <w:szCs w:val="32"/>
        </w:rPr>
        <w:t>0.00</w:t>
      </w:r>
      <w:r>
        <w:rPr>
          <w:rFonts w:hint="eastAsia" w:ascii="仿宋_GB2312" w:eastAsia="仿宋_GB2312"/>
          <w:sz w:val="32"/>
          <w:szCs w:val="32"/>
        </w:rPr>
        <w:t>万元。</w:t>
      </w:r>
    </w:p>
    <w:p>
      <w:pPr>
        <w:pStyle w:val="2"/>
        <w:spacing w:before="0" w:beforeAutospacing="0" w:after="0" w:afterAutospacing="0" w:line="560" w:lineRule="exact"/>
        <w:jc w:val="center"/>
      </w:pPr>
      <w:r>
        <w:rPr>
          <w:rFonts w:hint="eastAsia" w:ascii="仿宋_GB2312" w:eastAsia="仿宋_GB2312"/>
          <w:b w:val="0"/>
          <w:bCs w:val="0"/>
          <w:sz w:val="32"/>
        </w:rPr>
        <w:t>图2：基本支出和项目支出情况</w:t>
      </w:r>
    </w:p>
    <w:p>
      <w:pPr>
        <w:pStyle w:val="3"/>
        <w:jc w:val="center"/>
        <w:rPr>
          <w:color w:val="FF0000"/>
          <w:sz w:val="28"/>
          <w:szCs w:val="36"/>
        </w:rPr>
      </w:pPr>
      <w:r>
        <w:drawing>
          <wp:inline distT="0" distB="0" distL="0" distR="0">
            <wp:extent cx="3983990" cy="2193925"/>
            <wp:effectExtent l="5080" t="4445" r="11430" b="1143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hAnsi="仿宋_GB2312" w:eastAsia="仿宋_GB2312" w:cs="仿宋_GB2312"/>
          <w:color w:val="000000"/>
          <w:sz w:val="32"/>
          <w:szCs w:val="32"/>
        </w:rPr>
        <w:t>北京科技创新研究中心</w:t>
      </w:r>
      <w:r>
        <w:rPr>
          <w:rFonts w:hint="eastAsia" w:ascii="仿宋_GB2312" w:eastAsia="仿宋_GB2312"/>
          <w:sz w:val="32"/>
          <w:szCs w:val="32"/>
        </w:rPr>
        <w:t>因公出国（境）费用、公务接待费、公务用车购置和运行维护费开支单位包括1个所属单位。</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2023年财政拨款“三公”经费预算</w:t>
      </w:r>
      <w:r>
        <w:rPr>
          <w:rFonts w:ascii="仿宋_GB2312" w:eastAsia="仿宋_GB2312"/>
          <w:sz w:val="32"/>
          <w:szCs w:val="32"/>
        </w:rPr>
        <w:t>0.30</w:t>
      </w:r>
      <w:r>
        <w:rPr>
          <w:rFonts w:hint="eastAsia" w:ascii="仿宋_GB2312" w:eastAsia="仿宋_GB2312"/>
          <w:sz w:val="32"/>
          <w:szCs w:val="32"/>
        </w:rPr>
        <w:t>万元，比2022年财政拨款“三公”经费预算减少0</w:t>
      </w:r>
      <w:r>
        <w:rPr>
          <w:rFonts w:ascii="仿宋_GB2312" w:eastAsia="仿宋_GB2312"/>
          <w:sz w:val="32"/>
          <w:szCs w:val="32"/>
        </w:rPr>
        <w:t>.02</w:t>
      </w:r>
      <w:r>
        <w:rPr>
          <w:rFonts w:hint="eastAsia" w:ascii="仿宋_GB2312" w:eastAsia="仿宋_GB2312"/>
          <w:sz w:val="32"/>
          <w:szCs w:val="32"/>
        </w:rPr>
        <w:t>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1.因公出国（境）费用。2023年预算数</w:t>
      </w:r>
      <w:r>
        <w:rPr>
          <w:rFonts w:ascii="仿宋_GB2312" w:eastAsia="仿宋_GB2312"/>
          <w:sz w:val="32"/>
          <w:szCs w:val="32"/>
        </w:rPr>
        <w:t>0.00</w:t>
      </w:r>
      <w:r>
        <w:rPr>
          <w:rFonts w:hint="eastAsia" w:ascii="仿宋_GB2312" w:eastAsia="仿宋_GB2312"/>
          <w:sz w:val="32"/>
          <w:szCs w:val="32"/>
        </w:rPr>
        <w:t>万元，与2022年年初预算数持平。</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2.公务接待费。2023年预算数</w:t>
      </w:r>
      <w:r>
        <w:rPr>
          <w:rFonts w:ascii="仿宋_GB2312" w:eastAsia="仿宋_GB2312"/>
          <w:sz w:val="32"/>
          <w:szCs w:val="32"/>
        </w:rPr>
        <w:t>0.30</w:t>
      </w:r>
      <w:r>
        <w:rPr>
          <w:rFonts w:hint="eastAsia" w:ascii="仿宋_GB2312" w:eastAsia="仿宋_GB2312"/>
          <w:sz w:val="32"/>
          <w:szCs w:val="32"/>
        </w:rPr>
        <w:t>万元，比2022年年初预算数</w:t>
      </w:r>
      <w:r>
        <w:rPr>
          <w:rFonts w:ascii="仿宋_GB2312" w:eastAsia="仿宋_GB2312"/>
          <w:sz w:val="32"/>
          <w:szCs w:val="32"/>
        </w:rPr>
        <w:t>0.32</w:t>
      </w:r>
      <w:r>
        <w:rPr>
          <w:rFonts w:hint="eastAsia" w:ascii="仿宋_GB2312" w:eastAsia="仿宋_GB2312"/>
          <w:sz w:val="32"/>
          <w:szCs w:val="32"/>
        </w:rPr>
        <w:t>万元减少0</w:t>
      </w:r>
      <w:r>
        <w:rPr>
          <w:rFonts w:ascii="仿宋_GB2312" w:eastAsia="仿宋_GB2312"/>
          <w:sz w:val="32"/>
          <w:szCs w:val="32"/>
        </w:rPr>
        <w:t>.02</w:t>
      </w:r>
      <w:r>
        <w:rPr>
          <w:rFonts w:hint="eastAsia" w:ascii="仿宋_GB2312" w:eastAsia="仿宋_GB2312"/>
          <w:sz w:val="32"/>
          <w:szCs w:val="32"/>
        </w:rPr>
        <w:t>万元，主要原因：</w:t>
      </w:r>
      <w:r>
        <w:rPr>
          <w:rFonts w:hint="eastAsia" w:ascii="仿宋_GB2312" w:eastAsia="仿宋_GB2312"/>
          <w:color w:val="000000" w:themeColor="text1"/>
          <w:sz w:val="32"/>
          <w:szCs w:val="32"/>
          <w14:textFill>
            <w14:solidFill>
              <w14:schemeClr w14:val="tx1"/>
            </w14:solidFill>
          </w14:textFill>
        </w:rPr>
        <w:t>落实政府“过紧日子”要求，进一步压减一般性支出。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3.公务用车购置和运行维护费。2023年预算数</w:t>
      </w:r>
      <w:r>
        <w:rPr>
          <w:rFonts w:ascii="仿宋_GB2312" w:eastAsia="仿宋_GB2312"/>
          <w:sz w:val="32"/>
          <w:szCs w:val="32"/>
        </w:rPr>
        <w:t>0.00</w:t>
      </w:r>
      <w:r>
        <w:rPr>
          <w:rFonts w:hint="eastAsia" w:ascii="仿宋_GB2312" w:eastAsia="仿宋_GB2312"/>
          <w:sz w:val="32"/>
          <w:szCs w:val="32"/>
        </w:rPr>
        <w:t>万元，与2</w:t>
      </w:r>
      <w:r>
        <w:rPr>
          <w:rFonts w:ascii="仿宋_GB2312" w:eastAsia="仿宋_GB2312"/>
          <w:sz w:val="32"/>
          <w:szCs w:val="32"/>
        </w:rPr>
        <w:t>022</w:t>
      </w:r>
      <w:r>
        <w:rPr>
          <w:rFonts w:hint="eastAsia" w:ascii="仿宋_GB2312" w:eastAsia="仿宋_GB2312"/>
          <w:sz w:val="32"/>
          <w:szCs w:val="32"/>
        </w:rPr>
        <w:t>年年初预算数持平。</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w:t>
      </w:r>
      <w:r>
        <w:rPr>
          <w:rFonts w:hint="eastAsia" w:ascii="仿宋_GB2312" w:hAnsi="仿宋_GB2312" w:eastAsia="仿宋_GB2312" w:cs="仿宋_GB2312"/>
          <w:color w:val="000000"/>
          <w:sz w:val="32"/>
          <w:szCs w:val="32"/>
        </w:rPr>
        <w:t>北京科技创新研究中心</w:t>
      </w:r>
      <w:r>
        <w:rPr>
          <w:rFonts w:hint="eastAsia" w:ascii="仿宋_GB2312" w:eastAsia="仿宋_GB2312"/>
          <w:sz w:val="32"/>
          <w:szCs w:val="32"/>
        </w:rPr>
        <w:t>政府采购预算总额</w:t>
      </w:r>
      <w:r>
        <w:rPr>
          <w:rFonts w:ascii="仿宋_GB2312" w:eastAsia="仿宋_GB2312"/>
          <w:sz w:val="32"/>
          <w:szCs w:val="32"/>
        </w:rPr>
        <w:t>100.20</w:t>
      </w:r>
      <w:r>
        <w:rPr>
          <w:rFonts w:hint="eastAsia" w:ascii="仿宋_GB2312" w:eastAsia="仿宋_GB2312"/>
          <w:sz w:val="32"/>
          <w:szCs w:val="32"/>
        </w:rPr>
        <w:t>万元，其中：政府采购货物预算</w:t>
      </w:r>
      <w:r>
        <w:rPr>
          <w:rFonts w:ascii="仿宋_GB2312" w:eastAsia="仿宋_GB2312"/>
          <w:sz w:val="32"/>
          <w:szCs w:val="32"/>
        </w:rPr>
        <w:t>7.96</w:t>
      </w:r>
      <w:r>
        <w:rPr>
          <w:rFonts w:hint="eastAsia" w:ascii="仿宋_GB2312" w:eastAsia="仿宋_GB2312"/>
          <w:sz w:val="32"/>
          <w:szCs w:val="32"/>
        </w:rPr>
        <w:t>万元，政府采购工程预算</w:t>
      </w:r>
      <w:r>
        <w:rPr>
          <w:rFonts w:ascii="仿宋_GB2312" w:eastAsia="仿宋_GB2312"/>
          <w:sz w:val="32"/>
          <w:szCs w:val="32"/>
        </w:rPr>
        <w:t>0.00</w:t>
      </w:r>
      <w:r>
        <w:rPr>
          <w:rFonts w:hint="eastAsia" w:ascii="仿宋_GB2312" w:eastAsia="仿宋_GB2312"/>
          <w:sz w:val="32"/>
          <w:szCs w:val="32"/>
        </w:rPr>
        <w:t>万元，政府采购服务预算</w:t>
      </w:r>
      <w:r>
        <w:rPr>
          <w:rFonts w:ascii="仿宋_GB2312" w:eastAsia="仿宋_GB2312"/>
          <w:sz w:val="32"/>
          <w:szCs w:val="32"/>
        </w:rPr>
        <w:t>92.24</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hint="eastAsia" w:ascii="仿宋_GB2312" w:hAnsi="宋体" w:eastAsia="仿宋_GB2312" w:cs="宋体"/>
          <w:kern w:val="0"/>
          <w:sz w:val="32"/>
          <w:szCs w:val="32"/>
        </w:rPr>
        <w:t>本</w:t>
      </w:r>
      <w:r>
        <w:rPr>
          <w:rFonts w:ascii="仿宋_GB2312" w:hAnsi="宋体" w:eastAsia="仿宋_GB2312" w:cs="宋体"/>
          <w:kern w:val="0"/>
          <w:sz w:val="32"/>
          <w:szCs w:val="32"/>
        </w:rPr>
        <w:t>单位不属于政府购买服务购买主体</w:t>
      </w:r>
      <w:r>
        <w:rPr>
          <w:rFonts w:hint="eastAsia" w:ascii="仿宋_GB2312" w:hAnsi="宋体" w:eastAsia="仿宋_GB2312" w:cs="宋体"/>
          <w:kern w:val="0"/>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本单位不在机关运行经费统计范围之内。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w:t>
      </w:r>
      <w:r>
        <w:rPr>
          <w:rFonts w:hint="eastAsia" w:ascii="仿宋_GB2312" w:hAnsi="仿宋_GB2312" w:eastAsia="仿宋_GB2312" w:cs="仿宋_GB2312"/>
          <w:color w:val="000000"/>
          <w:sz w:val="32"/>
          <w:szCs w:val="32"/>
        </w:rPr>
        <w:t>北京科技创新研究中心</w:t>
      </w:r>
      <w:r>
        <w:rPr>
          <w:rFonts w:hint="eastAsia" w:ascii="仿宋_GB2312" w:eastAsia="仿宋_GB2312"/>
          <w:sz w:val="32"/>
          <w:szCs w:val="32"/>
        </w:rPr>
        <w:t>填报绩效目标的预算项目</w:t>
      </w:r>
      <w:r>
        <w:rPr>
          <w:rFonts w:ascii="仿宋_GB2312" w:eastAsia="仿宋_GB2312"/>
          <w:sz w:val="32"/>
          <w:szCs w:val="32"/>
        </w:rPr>
        <w:t>3</w:t>
      </w:r>
      <w:r>
        <w:rPr>
          <w:rFonts w:hint="eastAsia" w:ascii="仿宋_GB2312" w:eastAsia="仿宋_GB2312"/>
          <w:sz w:val="32"/>
          <w:szCs w:val="32"/>
        </w:rPr>
        <w:t>个，占本单位本年预算项目</w:t>
      </w:r>
      <w:r>
        <w:rPr>
          <w:rFonts w:ascii="仿宋_GB2312" w:eastAsia="仿宋_GB2312"/>
          <w:sz w:val="32"/>
          <w:szCs w:val="32"/>
        </w:rPr>
        <w:t>3</w:t>
      </w:r>
      <w:r>
        <w:rPr>
          <w:rFonts w:hint="eastAsia" w:ascii="仿宋_GB2312" w:eastAsia="仿宋_GB2312"/>
          <w:sz w:val="32"/>
          <w:szCs w:val="32"/>
        </w:rPr>
        <w:t>个的</w:t>
      </w:r>
      <w:r>
        <w:rPr>
          <w:rFonts w:ascii="仿宋_GB2312" w:eastAsia="仿宋_GB2312"/>
          <w:sz w:val="32"/>
          <w:szCs w:val="32"/>
        </w:rPr>
        <w:t>100</w:t>
      </w:r>
      <w:r>
        <w:rPr>
          <w:rFonts w:hint="eastAsia" w:ascii="仿宋_GB2312" w:eastAsia="仿宋_GB2312"/>
          <w:sz w:val="32"/>
          <w:szCs w:val="32"/>
        </w:rPr>
        <w:t>%。填报绩效目标的项目支出预算</w:t>
      </w:r>
      <w:r>
        <w:rPr>
          <w:rFonts w:ascii="仿宋_GB2312" w:eastAsia="仿宋_GB2312"/>
          <w:sz w:val="32"/>
          <w:szCs w:val="32"/>
        </w:rPr>
        <w:t>308.25</w:t>
      </w:r>
      <w:r>
        <w:rPr>
          <w:rFonts w:hint="eastAsia" w:ascii="仿宋_GB2312" w:eastAsia="仿宋_GB2312"/>
          <w:sz w:val="32"/>
          <w:szCs w:val="32"/>
        </w:rPr>
        <w:t>万元，占本单位本年项目支出预算的</w:t>
      </w:r>
      <w:r>
        <w:rPr>
          <w:rFonts w:ascii="仿宋_GB2312" w:eastAsia="仿宋_GB2312"/>
          <w:sz w:val="32"/>
          <w:szCs w:val="32"/>
        </w:rPr>
        <w:t>100</w:t>
      </w:r>
      <w:r>
        <w:rPr>
          <w:rFonts w:hint="eastAsia" w:ascii="仿宋_GB2312" w:eastAsia="仿宋_GB2312"/>
          <w:sz w:val="32"/>
          <w:szCs w:val="32"/>
        </w:rPr>
        <w:t>%</w:t>
      </w:r>
      <w:r>
        <w:rPr>
          <w:rFonts w:ascii="仿宋_GB2312" w:eastAsia="仿宋_GB2312"/>
          <w:sz w:val="32"/>
          <w:szCs w:val="32"/>
        </w:rPr>
        <w:t>。</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w:t>
      </w:r>
      <w:r>
        <w:rPr>
          <w:rFonts w:hint="eastAsia" w:ascii="仿宋_GB2312" w:hAnsi="仿宋_GB2312" w:eastAsia="仿宋_GB2312" w:cs="仿宋_GB2312"/>
          <w:color w:val="000000"/>
          <w:sz w:val="32"/>
          <w:szCs w:val="32"/>
        </w:rPr>
        <w:t>北京科技创新研究中心</w:t>
      </w:r>
      <w:r>
        <w:rPr>
          <w:rFonts w:hint="eastAsia" w:ascii="仿宋_GB2312" w:eastAsia="仿宋_GB2312"/>
          <w:sz w:val="32"/>
          <w:szCs w:val="32"/>
        </w:rPr>
        <w:t>共有车辆</w:t>
      </w:r>
      <w:r>
        <w:rPr>
          <w:rFonts w:ascii="仿宋_GB2312" w:eastAsia="仿宋_GB2312"/>
          <w:sz w:val="32"/>
          <w:szCs w:val="32"/>
        </w:rPr>
        <w:t>0</w:t>
      </w:r>
      <w:r>
        <w:rPr>
          <w:rFonts w:hint="eastAsia" w:ascii="仿宋_GB2312" w:eastAsia="仿宋_GB2312"/>
          <w:sz w:val="32"/>
          <w:szCs w:val="32"/>
        </w:rPr>
        <w:t>台</w:t>
      </w:r>
      <w:r>
        <w:rPr>
          <w:rFonts w:hint="eastAsia" w:ascii="仿宋_GB2312" w:eastAsia="仿宋_GB2312"/>
          <w:color w:val="000000"/>
          <w:sz w:val="32"/>
          <w:szCs w:val="32"/>
        </w:rPr>
        <w:t>，共计</w:t>
      </w:r>
      <w:r>
        <w:rPr>
          <w:rFonts w:ascii="仿宋_GB2312" w:eastAsia="仿宋_GB2312"/>
          <w:color w:val="000000"/>
          <w:sz w:val="32"/>
          <w:szCs w:val="32"/>
        </w:rPr>
        <w:t>0.00</w:t>
      </w:r>
      <w:r>
        <w:rPr>
          <w:rFonts w:hint="eastAsia" w:ascii="仿宋_GB2312" w:eastAsia="仿宋_GB2312"/>
          <w:color w:val="000000"/>
          <w:sz w:val="32"/>
          <w:szCs w:val="32"/>
        </w:rPr>
        <w:t>万元；单位价值50万元以上的通用设备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0.00</w:t>
      </w:r>
      <w:r>
        <w:rPr>
          <w:rFonts w:hint="eastAsia" w:ascii="仿宋_GB2312" w:eastAsia="仿宋_GB2312"/>
          <w:color w:val="000000"/>
          <w:sz w:val="32"/>
          <w:szCs w:val="32"/>
        </w:rPr>
        <w:t>万元，单位价值100万元以上的专用设备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0.00</w:t>
      </w:r>
      <w:r>
        <w:rPr>
          <w:rFonts w:hint="eastAsia" w:ascii="仿宋_GB2312" w:eastAsia="仿宋_GB2312"/>
          <w:color w:val="000000"/>
          <w:sz w:val="32"/>
          <w:szCs w:val="32"/>
        </w:rPr>
        <w:t>万元。</w:t>
      </w:r>
    </w:p>
    <w:p>
      <w:pPr>
        <w:numPr>
          <w:ilvl w:val="0"/>
          <w:numId w:val="2"/>
        </w:numPr>
        <w:spacing w:line="560" w:lineRule="exact"/>
        <w:ind w:firstLine="640" w:firstLineChars="200"/>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pStyle w:val="2"/>
      </w:pPr>
    </w:p>
    <w:p>
      <w:pPr>
        <w:pStyle w:val="2"/>
      </w:pPr>
    </w:p>
    <w:p/>
    <w:p/>
    <w:p>
      <w:pPr>
        <w:pStyle w:val="2"/>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rPr>
          <w:rFonts w:ascii="仿宋_GB2312" w:eastAsia="仿宋_GB2312"/>
          <w:color w:val="000000"/>
          <w:sz w:val="32"/>
          <w:szCs w:val="32"/>
        </w:rPr>
      </w:pPr>
      <w:r>
        <w:rPr>
          <w:rFonts w:hint="eastAsia" w:ascii="仿宋_GB2312" w:eastAsia="仿宋_GB2312"/>
          <w:color w:val="000000"/>
          <w:sz w:val="32"/>
          <w:szCs w:val="32"/>
        </w:rPr>
        <w:t>附件：研究中心2023年度单位预算报表</w:t>
      </w:r>
      <w:r>
        <w:rPr>
          <w:rFonts w:hint="eastAsia" w:ascii="仿宋_GB2312" w:eastAsia="仿宋_GB2312" w:cs="宋体"/>
          <w:color w:val="000000"/>
          <w:kern w:val="0"/>
          <w:sz w:val="32"/>
          <w:szCs w:val="3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7500942"/>
    </w:sdtPr>
    <w:sdtContent>
      <w:p>
        <w:pPr>
          <w:pStyle w:val="5"/>
          <w:jc w:val="center"/>
        </w:pPr>
        <w:r>
          <w:fldChar w:fldCharType="begin"/>
        </w:r>
        <w:r>
          <w:instrText xml:space="preserve">PAGE   \* MERGEFORMAT</w:instrText>
        </w:r>
        <w:r>
          <w:fldChar w:fldCharType="separate"/>
        </w:r>
        <w:r>
          <w:rPr>
            <w:lang w:val="zh-CN"/>
          </w:rPr>
          <w:t>7</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abstractNum w:abstractNumId="1">
    <w:nsid w:val="6E5B2E40"/>
    <w:multiLevelType w:val="singleLevel"/>
    <w:tmpl w:val="6E5B2E4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xZTlhZWY5YzcxZDcyMjNlNTA2YTA3MGU5NWIyMDYifQ=="/>
  </w:docVars>
  <w:rsids>
    <w:rsidRoot w:val="008B0122"/>
    <w:rsid w:val="000038C1"/>
    <w:rsid w:val="000432AA"/>
    <w:rsid w:val="000B12D2"/>
    <w:rsid w:val="000B531C"/>
    <w:rsid w:val="000D5A40"/>
    <w:rsid w:val="00113970"/>
    <w:rsid w:val="00116430"/>
    <w:rsid w:val="00117B17"/>
    <w:rsid w:val="00135595"/>
    <w:rsid w:val="00151713"/>
    <w:rsid w:val="00162FF1"/>
    <w:rsid w:val="00172B21"/>
    <w:rsid w:val="00192E47"/>
    <w:rsid w:val="00197F0D"/>
    <w:rsid w:val="001D479F"/>
    <w:rsid w:val="001E7554"/>
    <w:rsid w:val="002056F1"/>
    <w:rsid w:val="00266FED"/>
    <w:rsid w:val="00267022"/>
    <w:rsid w:val="003046C3"/>
    <w:rsid w:val="0034038C"/>
    <w:rsid w:val="00356F8B"/>
    <w:rsid w:val="00360EE3"/>
    <w:rsid w:val="003703BF"/>
    <w:rsid w:val="00381217"/>
    <w:rsid w:val="003A6D27"/>
    <w:rsid w:val="003D0144"/>
    <w:rsid w:val="003D5946"/>
    <w:rsid w:val="003F27E7"/>
    <w:rsid w:val="00405FDD"/>
    <w:rsid w:val="00412A4D"/>
    <w:rsid w:val="0042406B"/>
    <w:rsid w:val="00456D00"/>
    <w:rsid w:val="00465620"/>
    <w:rsid w:val="004E176C"/>
    <w:rsid w:val="00560CD7"/>
    <w:rsid w:val="006865CF"/>
    <w:rsid w:val="00693677"/>
    <w:rsid w:val="006A6037"/>
    <w:rsid w:val="006B3A07"/>
    <w:rsid w:val="006C420D"/>
    <w:rsid w:val="007216E5"/>
    <w:rsid w:val="00723718"/>
    <w:rsid w:val="0075049D"/>
    <w:rsid w:val="007971A7"/>
    <w:rsid w:val="007F0852"/>
    <w:rsid w:val="007F4048"/>
    <w:rsid w:val="007F5A70"/>
    <w:rsid w:val="00837962"/>
    <w:rsid w:val="008B0122"/>
    <w:rsid w:val="008F3B71"/>
    <w:rsid w:val="009305A6"/>
    <w:rsid w:val="009A5141"/>
    <w:rsid w:val="00A4250A"/>
    <w:rsid w:val="00A60DED"/>
    <w:rsid w:val="00A7022A"/>
    <w:rsid w:val="00A77B80"/>
    <w:rsid w:val="00A82273"/>
    <w:rsid w:val="00AB2E4C"/>
    <w:rsid w:val="00AD5377"/>
    <w:rsid w:val="00B136D1"/>
    <w:rsid w:val="00BB3EB4"/>
    <w:rsid w:val="00C26E11"/>
    <w:rsid w:val="00C55292"/>
    <w:rsid w:val="00C62065"/>
    <w:rsid w:val="00C7179B"/>
    <w:rsid w:val="00C72B41"/>
    <w:rsid w:val="00C8178E"/>
    <w:rsid w:val="00C96D1D"/>
    <w:rsid w:val="00CF7D63"/>
    <w:rsid w:val="00D47B44"/>
    <w:rsid w:val="00D74D86"/>
    <w:rsid w:val="00DC4543"/>
    <w:rsid w:val="00DE0D97"/>
    <w:rsid w:val="00E12682"/>
    <w:rsid w:val="00E42A8F"/>
    <w:rsid w:val="00ED1B67"/>
    <w:rsid w:val="00EF56F8"/>
    <w:rsid w:val="00F65689"/>
    <w:rsid w:val="00F75074"/>
    <w:rsid w:val="00F85597"/>
    <w:rsid w:val="00FB3EA8"/>
    <w:rsid w:val="00FB47E7"/>
    <w:rsid w:val="01907B87"/>
    <w:rsid w:val="059A0A26"/>
    <w:rsid w:val="09C32E39"/>
    <w:rsid w:val="0B314537"/>
    <w:rsid w:val="12330252"/>
    <w:rsid w:val="13DA0523"/>
    <w:rsid w:val="15C113EE"/>
    <w:rsid w:val="19892577"/>
    <w:rsid w:val="1EF5374B"/>
    <w:rsid w:val="32163FED"/>
    <w:rsid w:val="56B344A2"/>
    <w:rsid w:val="60902B34"/>
    <w:rsid w:val="64A35E67"/>
    <w:rsid w:val="74314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2"/>
    <w:unhideWhenUsed/>
    <w:qFormat/>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8"/>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标题 2 Char"/>
    <w:basedOn w:val="9"/>
    <w:link w:val="2"/>
    <w:qFormat/>
    <w:uiPriority w:val="0"/>
    <w:rPr>
      <w:rFonts w:ascii="Cambria" w:hAnsi="Cambria" w:eastAsia="黑体" w:cs="Times New Roman"/>
      <w:b/>
      <w:bCs/>
      <w:kern w:val="0"/>
      <w:sz w:val="36"/>
      <w:szCs w:val="32"/>
    </w:rPr>
  </w:style>
  <w:style w:type="character" w:customStyle="1" w:styleId="12">
    <w:name w:val="批注文字 Char"/>
    <w:basedOn w:val="9"/>
    <w:link w:val="3"/>
    <w:qFormat/>
    <w:uiPriority w:val="99"/>
    <w:rPr>
      <w:rFonts w:ascii="Times New Roman" w:hAnsi="Times New Roman" w:eastAsia="宋体" w:cs="Droid Sans"/>
      <w:szCs w:val="24"/>
    </w:rPr>
  </w:style>
  <w:style w:type="paragraph" w:customStyle="1" w:styleId="13">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4">
    <w:name w:val="页眉 Char"/>
    <w:basedOn w:val="9"/>
    <w:link w:val="6"/>
    <w:qFormat/>
    <w:uiPriority w:val="99"/>
    <w:rPr>
      <w:rFonts w:ascii="Times New Roman" w:hAnsi="Times New Roman" w:eastAsia="宋体" w:cs="Droid Sans"/>
      <w:sz w:val="18"/>
      <w:szCs w:val="18"/>
    </w:rPr>
  </w:style>
  <w:style w:type="character" w:customStyle="1" w:styleId="15">
    <w:name w:val="页脚 Char"/>
    <w:basedOn w:val="9"/>
    <w:link w:val="5"/>
    <w:qFormat/>
    <w:uiPriority w:val="99"/>
    <w:rPr>
      <w:rFonts w:ascii="Times New Roman" w:hAnsi="Times New Roman" w:eastAsia="宋体" w:cs="Droid Sans"/>
      <w:sz w:val="18"/>
      <w:szCs w:val="18"/>
    </w:rPr>
  </w:style>
  <w:style w:type="character" w:customStyle="1" w:styleId="16">
    <w:name w:val="批注框文本 Char"/>
    <w:basedOn w:val="9"/>
    <w:link w:val="4"/>
    <w:semiHidden/>
    <w:qFormat/>
    <w:uiPriority w:val="99"/>
    <w:rPr>
      <w:rFonts w:ascii="Times New Roman" w:hAnsi="Times New Roman" w:eastAsia="宋体" w:cs="Droid Sans"/>
      <w:sz w:val="18"/>
      <w:szCs w:val="18"/>
    </w:rPr>
  </w:style>
  <w:style w:type="paragraph" w:customStyle="1" w:styleId="17">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8">
    <w:name w:val="批注主题 Char"/>
    <w:basedOn w:val="12"/>
    <w:link w:val="7"/>
    <w:semiHidden/>
    <w:qFormat/>
    <w:uiPriority w:val="99"/>
    <w:rPr>
      <w:rFonts w:ascii="Times New Roman" w:hAnsi="Times New Roman" w:eastAsia="宋体" w:cs="Droid Sans"/>
      <w:b/>
      <w:bCs/>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dk1">
                        <a:lumMod val="75000"/>
                        <a:lumOff val="25000"/>
                      </a:scheme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Sheet1!$A$2:$A$3</c:f>
              <c:strCache>
                <c:ptCount val="2"/>
                <c:pt idx="0">
                  <c:v>一般公共预算拨款收入</c:v>
                </c:pt>
                <c:pt idx="1">
                  <c:v>上年结转结余</c:v>
                </c:pt>
              </c:strCache>
            </c:strRef>
          </c:cat>
          <c:val>
            <c:numRef>
              <c:f>Sheet1!$B$2:$B$3</c:f>
              <c:numCache>
                <c:formatCode>#,##0.00</c:formatCode>
                <c:ptCount val="2"/>
                <c:pt idx="0">
                  <c:v>2077.52</c:v>
                </c:pt>
                <c:pt idx="1" c:formatCode="General">
                  <c:v>128.67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no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dk1">
                        <a:lumMod val="75000"/>
                        <a:lumOff val="25000"/>
                      </a:scheme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1897.93</c:v>
                </c:pt>
                <c:pt idx="1" c:formatCode="General">
                  <c:v>308.25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no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371</Words>
  <Characters>2119</Characters>
  <Lines>17</Lines>
  <Paragraphs>4</Paragraphs>
  <TotalTime>14</TotalTime>
  <ScaleCrop>false</ScaleCrop>
  <LinksUpToDate>false</LinksUpToDate>
  <CharactersWithSpaces>2486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2023-02-20T03:02:00Z</dcterms:created>
  <dc:creator>Windows 用户</dc:creator>
  <cp:lastModifiedBy>leo-yao</cp:lastModifiedBy>
  <cp:lastPrinted>2023-02-17T02:36:00Z</cp:lastPrinted>
  <dcterms:modified xsi:type="dcterms:W3CDTF">2023-02-22T06:14:00Z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BFBD9733E9624F34AF92006861E52924</vt:lpwstr>
  </property>
</Properties>
</file>