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4" w:name="_GoBack"/>
      <w:bookmarkEnd w:id="4"/>
      <w:r>
        <w:rPr>
          <w:rFonts w:hint="eastAsia" w:ascii="方正小标宋简体" w:eastAsia="方正小标宋简体"/>
          <w:color w:val="000000"/>
          <w:sz w:val="36"/>
          <w:szCs w:val="36"/>
        </w:rPr>
        <w:t>北京新材料和新能源科技发展中心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widowControl/>
        <w:jc w:val="left"/>
        <w:rPr>
          <w:rFonts w:ascii="Cambria" w:hAnsi="Cambria" w:eastAsia="黑体" w:cs="Times New Roman"/>
          <w:b/>
          <w:bCs/>
          <w:kern w:val="0"/>
          <w:sz w:val="36"/>
          <w:szCs w:val="32"/>
          <w:lang w:val="zh-CN"/>
        </w:rPr>
      </w:pPr>
      <w:r>
        <w:rPr>
          <w:lang w:val="zh-CN"/>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根据中共北京市委机构编制委员会《关于市科委、中关村管委会所属事业单位改革有关事项的批复》（京编委[2021]66号）</w:t>
      </w:r>
      <w:r>
        <w:rPr>
          <w:rFonts w:hint="eastAsia" w:ascii="仿宋_GB2312" w:eastAsia="仿宋_GB2312"/>
          <w:color w:val="000000"/>
          <w:sz w:val="32"/>
          <w:szCs w:val="32"/>
        </w:rPr>
        <w:t>，</w:t>
      </w:r>
      <w:r>
        <w:rPr>
          <w:rFonts w:hint="eastAsia" w:ascii="仿宋_GB2312" w:eastAsia="仿宋_GB2312"/>
          <w:sz w:val="32"/>
          <w:szCs w:val="32"/>
        </w:rPr>
        <w:t>设立北京新材料和新能源科技发展中心。主要职责：承担新能源、新材料、新能源汽车、装备制造等领域科技创新布局研究、项目凝练、项目管理和创新主体服务等工作。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楷体_GB2312" w:eastAsia="楷体_GB2312"/>
          <w:color w:val="000000"/>
          <w:sz w:val="32"/>
          <w:szCs w:val="32"/>
        </w:rPr>
      </w:pPr>
      <w:r>
        <w:rPr>
          <w:rFonts w:hint="eastAsia" w:ascii="仿宋_GB2312" w:eastAsia="仿宋_GB2312"/>
          <w:sz w:val="32"/>
          <w:szCs w:val="32"/>
        </w:rPr>
        <w:t>北京新材料和新能源科技发展中心</w:t>
      </w:r>
      <w:r>
        <w:rPr>
          <w:rFonts w:hint="eastAsia" w:ascii="仿宋_GB2312" w:eastAsia="仿宋_GB2312" w:cs="Times New Roman"/>
          <w:sz w:val="32"/>
          <w:szCs w:val="32"/>
        </w:rPr>
        <w:t>下设8个部门，分别是综合管理部、战略新材料部、前沿新材料部、智能新能源汽车部、新能源部、高端装备制造部、未来产业科技部和创新发展部。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北京新材料和新能源科技发展中心</w:t>
      </w:r>
      <w:r>
        <w:rPr>
          <w:rFonts w:hint="eastAsia" w:ascii="仿宋_GB2312" w:eastAsia="仿宋_GB2312"/>
          <w:color w:val="000000"/>
          <w:sz w:val="32"/>
          <w:szCs w:val="32"/>
        </w:rPr>
        <w:t>事业编制58人，实有人数50人；</w:t>
      </w:r>
      <w:r>
        <w:rPr>
          <w:rFonts w:hint="eastAsia" w:ascii="仿宋_GB2312" w:eastAsia="仿宋_GB2312"/>
          <w:sz w:val="32"/>
          <w:szCs w:val="32"/>
        </w:rPr>
        <w:t>离退休人员3人，其中：离休</w:t>
      </w:r>
      <w:r>
        <w:rPr>
          <w:rFonts w:ascii="仿宋_GB2312" w:eastAsia="仿宋_GB2312"/>
          <w:sz w:val="32"/>
          <w:szCs w:val="32"/>
        </w:rPr>
        <w:t>0</w:t>
      </w:r>
      <w:r>
        <w:rPr>
          <w:rFonts w:hint="eastAsia" w:ascii="仿宋_GB2312" w:eastAsia="仿宋_GB2312"/>
          <w:sz w:val="32"/>
          <w:szCs w:val="32"/>
        </w:rPr>
        <w:t>人，退休3人</w:t>
      </w:r>
      <w:r>
        <w:rPr>
          <w:rFonts w:ascii="仿宋_GB2312" w:eastAsia="仿宋_GB2312"/>
          <w:sz w:val="32"/>
          <w:szCs w:val="32"/>
        </w:rPr>
        <w:t>。</w:t>
      </w:r>
    </w:p>
    <w:p>
      <w:pPr>
        <w:numPr>
          <w:ilvl w:val="0"/>
          <w:numId w:val="1"/>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收入预算情况说明</w:t>
      </w:r>
    </w:p>
    <w:p>
      <w:pPr>
        <w:spacing w:line="560" w:lineRule="exact"/>
        <w:ind w:firstLine="640" w:firstLineChars="200"/>
        <w:rPr>
          <w:rFonts w:ascii="仿宋_GB2312" w:eastAsia="仿宋_GB2312"/>
          <w:sz w:val="32"/>
          <w:szCs w:val="32"/>
        </w:rPr>
      </w:pPr>
      <w:bookmarkStart w:id="0" w:name="_Hlk127657535"/>
      <w:r>
        <w:rPr>
          <w:rFonts w:hint="eastAsia" w:ascii="仿宋_GB2312" w:eastAsia="仿宋_GB2312"/>
          <w:sz w:val="32"/>
          <w:szCs w:val="32"/>
        </w:rPr>
        <w:t>2023年度收入预算</w:t>
      </w:r>
      <w:bookmarkEnd w:id="0"/>
      <w:r>
        <w:rPr>
          <w:rFonts w:hint="eastAsia" w:ascii="仿宋_GB2312" w:eastAsia="仿宋_GB2312"/>
          <w:color w:val="000000"/>
          <w:sz w:val="32"/>
          <w:szCs w:val="32"/>
        </w:rPr>
        <w:t>（含</w:t>
      </w:r>
      <w:r>
        <w:rPr>
          <w:rFonts w:hint="eastAsia" w:ascii="仿宋_GB2312" w:eastAsia="仿宋_GB2312"/>
          <w:sz w:val="32"/>
          <w:szCs w:val="32"/>
        </w:rPr>
        <w:t>北京市科学技术委员会老干部服务中心、北京市高新技术成果转化服务中心、北京市科委行政事务服务中心、北京科技协作中心、北京市科技信息中心、北京市科学技术委员会农村发展中心、北京生产力促进中心、北京生物技术和新医药产业促进中心、北京工业设计促进中心、北京市科学技术委员会人才交流中心、北京技术交易促进中心、北京科学技术开发交流中心、北京市可持续发展科技促进中心、北京市科技传播中心、北京科学仪器装备协作服务中心）3,513.26万元，剔除15家涉改事业单位上年结转结余数据后，北京新材料和新能源科技发展中心202</w:t>
      </w:r>
      <w:r>
        <w:rPr>
          <w:rFonts w:ascii="仿宋_GB2312" w:eastAsia="仿宋_GB2312"/>
          <w:sz w:val="32"/>
          <w:szCs w:val="32"/>
        </w:rPr>
        <w:t>3</w:t>
      </w:r>
      <w:r>
        <w:rPr>
          <w:rFonts w:hint="eastAsia" w:ascii="仿宋_GB2312" w:eastAsia="仿宋_GB2312"/>
          <w:sz w:val="32"/>
          <w:szCs w:val="32"/>
        </w:rPr>
        <w:t>年收入预算</w:t>
      </w:r>
      <w:r>
        <w:rPr>
          <w:rFonts w:ascii="仿宋_GB2312" w:eastAsia="仿宋_GB2312"/>
          <w:sz w:val="32"/>
          <w:szCs w:val="32"/>
        </w:rPr>
        <w:t>2,562.65</w:t>
      </w:r>
      <w:r>
        <w:rPr>
          <w:rFonts w:hint="eastAsia" w:ascii="仿宋_GB2312" w:eastAsia="仿宋_GB2312"/>
          <w:sz w:val="32"/>
          <w:szCs w:val="32"/>
        </w:rPr>
        <w:t>万元，比2022年年初预算数</w:t>
      </w:r>
      <w:bookmarkStart w:id="1" w:name="_Hlk127658107"/>
      <w:r>
        <w:rPr>
          <w:rFonts w:hint="eastAsia" w:ascii="仿宋_GB2312" w:eastAsia="仿宋_GB2312"/>
          <w:color w:val="000000"/>
          <w:sz w:val="32"/>
          <w:szCs w:val="32"/>
        </w:rPr>
        <w:t>2,394.50</w:t>
      </w:r>
      <w:bookmarkEnd w:id="1"/>
      <w:r>
        <w:rPr>
          <w:rFonts w:hint="eastAsia" w:ascii="仿宋_GB2312" w:eastAsia="仿宋_GB2312"/>
          <w:sz w:val="32"/>
          <w:szCs w:val="32"/>
        </w:rPr>
        <w:t>万元增长168.15万元，增长7.02%。主要原因是落实全市统一政策要求，继续消化使用上年基本支出经费结转资金</w:t>
      </w:r>
      <w:r>
        <w:rPr>
          <w:rFonts w:hint="eastAsia" w:ascii="仿宋_GB2312" w:eastAsia="仿宋_GB2312"/>
          <w:sz w:val="32"/>
          <w:szCs w:val="32"/>
          <w:lang w:eastAsia="zh-CN"/>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w:t>
      </w:r>
      <w:r>
        <w:rPr>
          <w:rFonts w:ascii="楷体_GB2312" w:eastAsia="楷体_GB2312"/>
          <w:sz w:val="32"/>
          <w:szCs w:val="32"/>
        </w:rPr>
        <w:t>,</w:t>
      </w:r>
      <w:r>
        <w:rPr>
          <w:rFonts w:hint="eastAsia" w:ascii="楷体_GB2312" w:eastAsia="楷体_GB2312"/>
          <w:sz w:val="32"/>
          <w:szCs w:val="32"/>
        </w:rPr>
        <w:t>384.65万元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1.一般公共预算拨款收入2</w:t>
      </w:r>
      <w:r>
        <w:rPr>
          <w:rFonts w:ascii="仿宋_GB2312" w:eastAsia="仿宋_GB2312"/>
          <w:sz w:val="32"/>
          <w:szCs w:val="32"/>
        </w:rPr>
        <w:t>,</w:t>
      </w:r>
      <w:r>
        <w:rPr>
          <w:rFonts w:hint="eastAsia" w:ascii="仿宋_GB2312" w:eastAsia="仿宋_GB2312"/>
          <w:sz w:val="32"/>
          <w:szCs w:val="32"/>
        </w:rPr>
        <w:t>384.65万元。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w:t>
      </w:r>
      <w:r>
        <w:rPr>
          <w:rFonts w:ascii="楷体_GB2312" w:eastAsia="楷体_GB2312"/>
          <w:sz w:val="32"/>
          <w:szCs w:val="32"/>
        </w:rPr>
        <w:t>,</w:t>
      </w:r>
      <w:r>
        <w:rPr>
          <w:rFonts w:hint="eastAsia" w:ascii="楷体_GB2312" w:eastAsia="楷体_GB2312"/>
          <w:sz w:val="32"/>
          <w:szCs w:val="32"/>
        </w:rPr>
        <w:t>128.61万元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10.上年结转结余含上述涉改事业单位金额1</w:t>
      </w:r>
      <w:r>
        <w:rPr>
          <w:rFonts w:ascii="仿宋_GB2312" w:eastAsia="仿宋_GB2312"/>
          <w:sz w:val="32"/>
          <w:szCs w:val="32"/>
        </w:rPr>
        <w:t>,</w:t>
      </w:r>
      <w:r>
        <w:rPr>
          <w:rFonts w:hint="eastAsia" w:ascii="仿宋_GB2312" w:eastAsia="仿宋_GB2312"/>
          <w:sz w:val="32"/>
          <w:szCs w:val="32"/>
        </w:rPr>
        <w:t>128.61万元，剔除15家涉改事业单位上年结转结余数据后，北京新材料和新能源科技发展中心上年结转结余178.00万元。</w:t>
      </w:r>
    </w:p>
    <w:p>
      <w:pPr>
        <w:pStyle w:val="2"/>
        <w:ind w:firstLine="2265" w:firstLineChars="705"/>
        <w:rPr>
          <w:rFonts w:ascii="仿宋_GB2312" w:eastAsia="仿宋_GB2312"/>
          <w:sz w:val="32"/>
        </w:rPr>
      </w:pPr>
      <w:r>
        <w:rPr>
          <w:rFonts w:hint="eastAsia" w:ascii="仿宋_GB2312" w:eastAsia="仿宋_GB2312"/>
          <w:sz w:val="32"/>
        </w:rPr>
        <w:t>图1：收入预算</w:t>
      </w:r>
    </w:p>
    <w:p>
      <w:pPr>
        <w:pStyle w:val="2"/>
      </w:pPr>
      <w:r>
        <w:drawing>
          <wp:inline distT="0" distB="0" distL="114300" distR="114300">
            <wp:extent cx="4858385" cy="3000375"/>
            <wp:effectExtent l="4445" t="5080" r="13970" b="444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pPr>
    </w:p>
    <w:p>
      <w:pPr>
        <w:numPr>
          <w:ilvl w:val="0"/>
          <w:numId w:val="2"/>
        </w:numPr>
        <w:spacing w:line="560" w:lineRule="exact"/>
        <w:ind w:firstLine="640" w:firstLineChars="200"/>
        <w:rPr>
          <w:rFonts w:ascii="黑体" w:eastAsia="黑体"/>
          <w:sz w:val="32"/>
          <w:szCs w:val="32"/>
        </w:rPr>
      </w:pPr>
      <w:r>
        <w:rPr>
          <w:rFonts w:hint="eastAsia" w:ascii="黑体" w:eastAsia="黑体"/>
          <w:sz w:val="32"/>
          <w:szCs w:val="32"/>
        </w:rPr>
        <w:t>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hint="eastAsia" w:ascii="仿宋_GB2312" w:eastAsia="仿宋_GB2312"/>
          <w:color w:val="000000"/>
          <w:sz w:val="32"/>
          <w:szCs w:val="32"/>
        </w:rPr>
        <w:t>（含</w:t>
      </w:r>
      <w:r>
        <w:rPr>
          <w:rFonts w:hint="eastAsia" w:ascii="仿宋_GB2312" w:eastAsia="仿宋_GB2312"/>
          <w:sz w:val="32"/>
          <w:szCs w:val="32"/>
        </w:rPr>
        <w:t>北京市科学技术委员会老干部服务中心、北京市高新技术成果转化服务中心、北京市科委行政事务服务中心、北京科技协作中心、北京市科技信息中心、北京市科学技术委员会农村发展中心、北京生产力促进中心、北京生物技术和新医药产业促进中心、北京工业设计促进中心、北京市科学技术委员会人才交流中心、北京技术交易促进中心、北京科学技术开发交流中心、北京市可持续发展科技促进中心、北京市科技传播中心、北京科学仪器装备协作服务中心）3</w:t>
      </w:r>
      <w:r>
        <w:rPr>
          <w:rFonts w:ascii="仿宋_GB2312" w:eastAsia="仿宋_GB2312"/>
          <w:sz w:val="32"/>
          <w:szCs w:val="32"/>
        </w:rPr>
        <w:t>,</w:t>
      </w:r>
      <w:r>
        <w:rPr>
          <w:rFonts w:hint="eastAsia" w:ascii="仿宋_GB2312" w:eastAsia="仿宋_GB2312"/>
          <w:sz w:val="32"/>
          <w:szCs w:val="32"/>
        </w:rPr>
        <w:t>513.26万元，剔除15家涉改事业单位基本经费支出数据后，北京新材料和新能源科技发展中心比2022年年初预算数</w:t>
      </w:r>
      <w:r>
        <w:rPr>
          <w:rFonts w:hint="eastAsia" w:ascii="仿宋_GB2312" w:eastAsia="仿宋_GB2312"/>
          <w:color w:val="000000"/>
          <w:sz w:val="32"/>
          <w:szCs w:val="32"/>
        </w:rPr>
        <w:t>2,394.50</w:t>
      </w:r>
      <w:r>
        <w:rPr>
          <w:rFonts w:hint="eastAsia" w:ascii="仿宋_GB2312" w:eastAsia="仿宋_GB2312"/>
          <w:sz w:val="32"/>
          <w:szCs w:val="32"/>
        </w:rPr>
        <w:t>万元增加168.15万元，增长7.02%。主要原因是落实全市统一政策要求，继续消化使用上年基本支出经费结转资金</w:t>
      </w:r>
      <w:r>
        <w:rPr>
          <w:rFonts w:hint="eastAsia" w:ascii="仿宋_GB2312" w:eastAsia="仿宋_GB2312"/>
          <w:sz w:val="32"/>
          <w:szCs w:val="32"/>
          <w:lang w:eastAsia="zh-CN"/>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基本支出预算2</w:t>
      </w:r>
      <w:r>
        <w:rPr>
          <w:rFonts w:ascii="仿宋_GB2312" w:eastAsia="仿宋_GB2312"/>
          <w:sz w:val="32"/>
          <w:szCs w:val="32"/>
        </w:rPr>
        <w:t>,</w:t>
      </w:r>
      <w:r>
        <w:rPr>
          <w:rFonts w:hint="eastAsia" w:ascii="仿宋_GB2312" w:eastAsia="仿宋_GB2312"/>
          <w:sz w:val="32"/>
          <w:szCs w:val="32"/>
        </w:rPr>
        <w:t>354.65万元，占总支出预算91.88%，比2022年年初预算数2</w:t>
      </w:r>
      <w:r>
        <w:rPr>
          <w:rFonts w:ascii="仿宋_GB2312" w:eastAsia="仿宋_GB2312"/>
          <w:sz w:val="32"/>
          <w:szCs w:val="32"/>
        </w:rPr>
        <w:t>,</w:t>
      </w:r>
      <w:r>
        <w:rPr>
          <w:rFonts w:hint="eastAsia" w:ascii="仿宋_GB2312" w:eastAsia="仿宋_GB2312"/>
          <w:sz w:val="32"/>
          <w:szCs w:val="32"/>
        </w:rPr>
        <w:t>190.33万元增加164.32万元，增长7.50%。</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项目支出预算208万元，比2022年年初预算数204.17万元增加3.83万元，增长1.88%。其中：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pStyle w:val="2"/>
        <w:jc w:val="center"/>
      </w:pPr>
      <w:r>
        <w:rPr>
          <w:rFonts w:hint="eastAsia" w:ascii="仿宋_GB2312" w:eastAsia="仿宋_GB2312"/>
          <w:sz w:val="32"/>
        </w:rPr>
        <w:t>图2：基本支出和项目支出情况</w:t>
      </w:r>
    </w:p>
    <w:p>
      <w:pPr>
        <w:spacing w:line="560" w:lineRule="exact"/>
        <w:ind w:firstLine="640"/>
        <w:rPr>
          <w:rFonts w:ascii="仿宋_GB2312" w:eastAsia="仿宋_GB2312"/>
          <w:sz w:val="32"/>
          <w:szCs w:val="32"/>
        </w:rPr>
      </w:pPr>
      <w:r>
        <w:drawing>
          <wp:anchor distT="0" distB="0" distL="114300" distR="114300" simplePos="0" relativeHeight="251659264" behindDoc="1" locked="0" layoutInCell="1" allowOverlap="1">
            <wp:simplePos x="0" y="0"/>
            <wp:positionH relativeFrom="column">
              <wp:posOffset>239395</wp:posOffset>
            </wp:positionH>
            <wp:positionV relativeFrom="paragraph">
              <wp:posOffset>60325</wp:posOffset>
            </wp:positionV>
            <wp:extent cx="4656455" cy="3038475"/>
            <wp:effectExtent l="4445" t="4445" r="6350" b="5080"/>
            <wp:wrapThrough wrapText="bothSides">
              <wp:wrapPolygon>
                <wp:start x="-21" y="-32"/>
                <wp:lineTo x="-21" y="21501"/>
                <wp:lineTo x="21541" y="21501"/>
                <wp:lineTo x="21541" y="-32"/>
                <wp:lineTo x="-21" y="-32"/>
              </wp:wrapPolygon>
            </wp:wrapThrough>
            <wp:docPr id="9"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spacing w:line="560" w:lineRule="exact"/>
        <w:ind w:firstLine="640"/>
        <w:rPr>
          <w:rFonts w:ascii="仿宋_GB2312" w:eastAsia="仿宋_GB2312"/>
          <w:sz w:val="32"/>
          <w:szCs w:val="32"/>
        </w:rPr>
      </w:pPr>
    </w:p>
    <w:p>
      <w:pPr>
        <w:spacing w:line="560" w:lineRule="exact"/>
        <w:ind w:firstLine="640"/>
        <w:rPr>
          <w:rFonts w:ascii="仿宋_GB2312" w:eastAsia="仿宋_GB2312"/>
          <w:sz w:val="32"/>
          <w:szCs w:val="32"/>
        </w:rPr>
      </w:pPr>
    </w:p>
    <w:p>
      <w:pPr>
        <w:spacing w:line="560" w:lineRule="exact"/>
        <w:ind w:firstLine="640"/>
        <w:rPr>
          <w:rFonts w:ascii="仿宋_GB2312"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北京新材料和新能源科技发展中心因公出国（境）费用、公务接待费、公务用车购置和运行维护费开支单位包括1个所属单位。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2023年财政拨款“三公”经费预算5.00万元，比2022年财政拨款“三公”经费预算减少</w:t>
      </w:r>
      <w:r>
        <w:rPr>
          <w:rFonts w:hint="eastAsia" w:ascii="仿宋_GB2312" w:eastAsia="仿宋_GB2312"/>
          <w:sz w:val="32"/>
          <w:szCs w:val="32"/>
          <w:lang w:val="en-US" w:eastAsia="zh-CN"/>
        </w:rPr>
        <w:t>5.00</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w:t>
      </w:r>
      <w:r>
        <w:rPr>
          <w:rFonts w:hint="eastAsia" w:ascii="仿宋_GB2312" w:eastAsia="仿宋_GB2312"/>
          <w:sz w:val="32"/>
          <w:szCs w:val="32"/>
          <w:lang w:val="en-US" w:eastAsia="zh-CN"/>
        </w:rPr>
        <w:t>5.00</w:t>
      </w:r>
      <w:r>
        <w:rPr>
          <w:rFonts w:hint="eastAsia" w:ascii="仿宋_GB2312" w:eastAsia="仿宋_GB2312"/>
          <w:sz w:val="32"/>
          <w:szCs w:val="32"/>
        </w:rPr>
        <w:t>万元，其中，公务用车购置费2023年预算数</w:t>
      </w:r>
      <w:r>
        <w:rPr>
          <w:rFonts w:hint="eastAsia" w:ascii="仿宋_GB2312" w:eastAsia="仿宋_GB2312"/>
          <w:sz w:val="32"/>
          <w:szCs w:val="32"/>
          <w:lang w:val="en-US" w:eastAsia="zh-CN"/>
        </w:rPr>
        <w:t>0.00</w:t>
      </w:r>
      <w:r>
        <w:rPr>
          <w:rFonts w:hint="eastAsia" w:ascii="仿宋_GB2312" w:eastAsia="仿宋_GB2312"/>
          <w:sz w:val="32"/>
          <w:szCs w:val="32"/>
        </w:rPr>
        <w:t>万元；公务用车运行维护费2023年预算数</w:t>
      </w:r>
      <w:r>
        <w:rPr>
          <w:rFonts w:hint="eastAsia" w:ascii="仿宋_GB2312" w:eastAsia="仿宋_GB2312"/>
          <w:sz w:val="32"/>
          <w:szCs w:val="32"/>
          <w:lang w:val="en-US" w:eastAsia="zh-CN"/>
        </w:rPr>
        <w:t>5.00</w:t>
      </w:r>
      <w:r>
        <w:rPr>
          <w:rFonts w:hint="eastAsia" w:ascii="仿宋_GB2312" w:eastAsia="仿宋_GB2312"/>
          <w:sz w:val="32"/>
          <w:szCs w:val="32"/>
        </w:rPr>
        <w:t>万元，其中：公务用车燃油</w:t>
      </w:r>
      <w:r>
        <w:rPr>
          <w:rFonts w:hint="eastAsia" w:ascii="仿宋_GB2312" w:eastAsia="仿宋_GB2312"/>
          <w:sz w:val="32"/>
          <w:szCs w:val="32"/>
          <w:lang w:val="en-US" w:eastAsia="zh-CN"/>
        </w:rPr>
        <w:t>2.65</w:t>
      </w:r>
      <w:r>
        <w:rPr>
          <w:rFonts w:hint="eastAsia" w:ascii="仿宋_GB2312" w:eastAsia="仿宋_GB2312"/>
          <w:sz w:val="32"/>
          <w:szCs w:val="32"/>
        </w:rPr>
        <w:t>万元，公务用车维修</w:t>
      </w:r>
      <w:r>
        <w:rPr>
          <w:rFonts w:hint="eastAsia" w:ascii="仿宋_GB2312" w:eastAsia="仿宋_GB2312"/>
          <w:sz w:val="32"/>
          <w:szCs w:val="32"/>
          <w:lang w:val="en-US" w:eastAsia="zh-CN"/>
        </w:rPr>
        <w:t>0.85</w:t>
      </w:r>
      <w:r>
        <w:rPr>
          <w:rFonts w:hint="eastAsia" w:ascii="仿宋_GB2312" w:eastAsia="仿宋_GB2312"/>
          <w:sz w:val="32"/>
          <w:szCs w:val="32"/>
        </w:rPr>
        <w:t>万元，公务用车保险</w:t>
      </w:r>
      <w:r>
        <w:rPr>
          <w:rFonts w:hint="eastAsia" w:ascii="仿宋_GB2312" w:eastAsia="仿宋_GB2312"/>
          <w:sz w:val="32"/>
          <w:szCs w:val="32"/>
          <w:lang w:val="en-US" w:eastAsia="zh-CN"/>
        </w:rPr>
        <w:t>0.85</w:t>
      </w:r>
      <w:r>
        <w:rPr>
          <w:rFonts w:hint="eastAsia" w:ascii="仿宋_GB2312" w:eastAsia="仿宋_GB2312"/>
          <w:sz w:val="32"/>
          <w:szCs w:val="32"/>
        </w:rPr>
        <w:t>万元，其他支出</w:t>
      </w:r>
      <w:r>
        <w:rPr>
          <w:rFonts w:hint="eastAsia" w:ascii="仿宋_GB2312" w:eastAsia="仿宋_GB2312"/>
          <w:sz w:val="32"/>
          <w:szCs w:val="32"/>
          <w:lang w:val="en-US" w:eastAsia="zh-CN"/>
        </w:rPr>
        <w:t>0.65</w:t>
      </w:r>
      <w:r>
        <w:rPr>
          <w:rFonts w:hint="eastAsia" w:ascii="仿宋_GB2312" w:eastAsia="仿宋_GB2312"/>
          <w:sz w:val="32"/>
          <w:szCs w:val="32"/>
        </w:rPr>
        <w:t>万元。公务用车运行维护费2023年预算数比2022年年初预算数</w:t>
      </w:r>
      <w:r>
        <w:rPr>
          <w:rFonts w:hint="eastAsia" w:ascii="仿宋_GB2312" w:eastAsia="仿宋_GB2312"/>
          <w:sz w:val="32"/>
          <w:szCs w:val="32"/>
          <w:lang w:val="en-US" w:eastAsia="zh-CN"/>
        </w:rPr>
        <w:t>10.00</w:t>
      </w:r>
      <w:r>
        <w:rPr>
          <w:rFonts w:hint="eastAsia" w:ascii="仿宋_GB2312" w:eastAsia="仿宋_GB2312"/>
          <w:sz w:val="32"/>
          <w:szCs w:val="32"/>
        </w:rPr>
        <w:t>万元减少</w:t>
      </w:r>
      <w:r>
        <w:rPr>
          <w:rFonts w:hint="eastAsia" w:ascii="仿宋_GB2312" w:eastAsia="仿宋_GB2312"/>
          <w:sz w:val="32"/>
          <w:szCs w:val="32"/>
          <w:lang w:val="en-US" w:eastAsia="zh-CN"/>
        </w:rPr>
        <w:t>5.00</w:t>
      </w:r>
      <w:r>
        <w:rPr>
          <w:rFonts w:hint="eastAsia" w:ascii="仿宋_GB2312" w:eastAsia="仿宋_GB2312"/>
          <w:sz w:val="32"/>
          <w:szCs w:val="32"/>
        </w:rPr>
        <w:t>万元。主要原因：</w:t>
      </w:r>
      <w:r>
        <w:rPr>
          <w:rFonts w:hint="eastAsia" w:ascii="仿宋_GB2312" w:eastAsia="仿宋_GB2312"/>
          <w:color w:val="auto"/>
          <w:sz w:val="32"/>
          <w:szCs w:val="32"/>
          <w:highlight w:val="none"/>
          <w:lang w:val="en-US" w:eastAsia="zh-CN"/>
        </w:rPr>
        <w:t>落实政府</w:t>
      </w:r>
      <w:r>
        <w:rPr>
          <w:rFonts w:hint="eastAsia" w:ascii="仿宋_GB2312" w:eastAsia="仿宋_GB2312"/>
          <w:color w:val="auto"/>
          <w:sz w:val="32"/>
          <w:szCs w:val="32"/>
          <w:highlight w:val="none"/>
        </w:rPr>
        <w:t>“过紧日子”要求，</w:t>
      </w:r>
      <w:r>
        <w:rPr>
          <w:rFonts w:hint="eastAsia" w:ascii="仿宋_GB2312" w:eastAsia="仿宋_GB2312"/>
          <w:color w:val="auto"/>
          <w:sz w:val="32"/>
          <w:szCs w:val="32"/>
          <w:highlight w:val="none"/>
          <w:lang w:val="en-US" w:eastAsia="zh-CN"/>
        </w:rPr>
        <w:t>进一步压减一般性支出</w:t>
      </w:r>
      <w:r>
        <w:rPr>
          <w:rFonts w:hint="eastAsia" w:ascii="仿宋_GB2312" w:eastAsia="仿宋_GB2312"/>
          <w:color w:val="auto"/>
          <w:sz w:val="32"/>
          <w:szCs w:val="32"/>
          <w:highlight w:val="none"/>
        </w:rPr>
        <w:t>。</w:t>
      </w:r>
      <w:bookmarkStart w:id="2" w:name="_Hlk127824434"/>
    </w:p>
    <w:bookmarkEnd w:id="2"/>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bookmarkStart w:id="3" w:name="_Hlk127825533"/>
      <w:r>
        <w:rPr>
          <w:rFonts w:hint="eastAsia" w:ascii="仿宋_GB2312" w:eastAsia="仿宋_GB2312"/>
          <w:sz w:val="32"/>
          <w:szCs w:val="32"/>
        </w:rPr>
        <w:t>北京新材料和新能源科技发展中心</w:t>
      </w:r>
      <w:bookmarkEnd w:id="3"/>
      <w:r>
        <w:rPr>
          <w:rFonts w:hint="eastAsia" w:ascii="仿宋_GB2312" w:eastAsia="仿宋_GB2312"/>
          <w:sz w:val="32"/>
          <w:szCs w:val="32"/>
        </w:rPr>
        <w:t>政府采购预算总额76.81万元，其中：政府采购货物预算12.00万元，政府采购工程预算0.00万元，政府采购服务预算64.81万元。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2023年，北京新材料和新能源科技发展中心填报绩效目标的预算项目3个，占本单位本年预算项目3个的100%。填报绩效目标的项目支出预算208.00万元，占本单位本年项目支出预算的100%。</w:t>
      </w:r>
    </w:p>
    <w:p>
      <w:pPr>
        <w:numPr>
          <w:ilvl w:val="0"/>
          <w:numId w:val="3"/>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年底，北京新材料和新能源科技发展中心共有车辆2台，共计42.69万元；单位价值50万元以上的通用设备0台（套），共计0.00万元，单位价值100万元以上的专用设备0台（套）、共计0.00万元。</w:t>
      </w:r>
    </w:p>
    <w:p>
      <w:pPr>
        <w:numPr>
          <w:ilvl w:val="0"/>
          <w:numId w:val="4"/>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附件：北京新材料和新能源科技发展中心2023年度单位预算报表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Droid Sans">
    <w:altName w:val="文泉驿微米黑"/>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Microsoft YaHei UI">
    <w:altName w:val="文泉驿微米黑"/>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true">
                      <a:spLocks noChangeArrowheads="true"/>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m84hJ9EAAAADAQAADwAAAAAAAAABACAAAAA4AAAAZHJz&#10;L2Rvd25yZXYueG1sUEsBAhQAFAAAAAgAh07iQHibkkP1AQAAwQMAAA4AAAAAAAAAAQAgAAAANgEA&#10;AGRycy9lMm9Eb2MueG1sUEsFBgAAAAAGAAYAWQEAAJ0FA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41CE9B"/>
    <w:multiLevelType w:val="singleLevel"/>
    <w:tmpl w:val="D841CE9B"/>
    <w:lvl w:ilvl="0" w:tentative="0">
      <w:start w:val="2"/>
      <w:numFmt w:val="chineseCounting"/>
      <w:suff w:val="nothing"/>
      <w:lvlText w:val="%1、"/>
      <w:lvlJc w:val="left"/>
      <w:rPr>
        <w:rFonts w:hint="eastAsia"/>
      </w:rPr>
    </w:lvl>
  </w:abstractNum>
  <w:abstractNum w:abstractNumId="1">
    <w:nsid w:val="3D37F282"/>
    <w:multiLevelType w:val="singleLevel"/>
    <w:tmpl w:val="3D37F282"/>
    <w:lvl w:ilvl="0" w:tentative="0">
      <w:start w:val="3"/>
      <w:numFmt w:val="chineseCounting"/>
      <w:suff w:val="nothing"/>
      <w:lvlText w:val="%1、"/>
      <w:lvlJc w:val="left"/>
      <w:rPr>
        <w:rFonts w:hint="eastAsia"/>
      </w:rPr>
    </w:lvl>
  </w:abstractNum>
  <w:abstractNum w:abstractNumId="2">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3">
    <w:nsid w:val="6E5B2E40"/>
    <w:multiLevelType w:val="singleLevel"/>
    <w:tmpl w:val="6E5B2E40"/>
    <w:lvl w:ilvl="0" w:tentative="0">
      <w:start w:val="5"/>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80DE5"/>
    <w:rsid w:val="00184A14"/>
    <w:rsid w:val="001D06CB"/>
    <w:rsid w:val="001F075F"/>
    <w:rsid w:val="002479BD"/>
    <w:rsid w:val="00280A5A"/>
    <w:rsid w:val="00340F1D"/>
    <w:rsid w:val="003B5C7A"/>
    <w:rsid w:val="004000A6"/>
    <w:rsid w:val="00405899"/>
    <w:rsid w:val="004062C2"/>
    <w:rsid w:val="004230FC"/>
    <w:rsid w:val="005C7B1E"/>
    <w:rsid w:val="0061608B"/>
    <w:rsid w:val="006545AC"/>
    <w:rsid w:val="00675FCA"/>
    <w:rsid w:val="00683473"/>
    <w:rsid w:val="00731C78"/>
    <w:rsid w:val="00943F42"/>
    <w:rsid w:val="009D6C86"/>
    <w:rsid w:val="00A11D5D"/>
    <w:rsid w:val="00AA0B9A"/>
    <w:rsid w:val="00B64678"/>
    <w:rsid w:val="00BF1440"/>
    <w:rsid w:val="00BF4454"/>
    <w:rsid w:val="00C063DC"/>
    <w:rsid w:val="00CB228A"/>
    <w:rsid w:val="00DA3E64"/>
    <w:rsid w:val="00F313BA"/>
    <w:rsid w:val="00F528D5"/>
    <w:rsid w:val="00F84BCC"/>
    <w:rsid w:val="00F941D6"/>
    <w:rsid w:val="00FA2845"/>
    <w:rsid w:val="00FC0C02"/>
    <w:rsid w:val="017A19A1"/>
    <w:rsid w:val="017C2CB3"/>
    <w:rsid w:val="01A00569"/>
    <w:rsid w:val="042A5AF7"/>
    <w:rsid w:val="04447FB3"/>
    <w:rsid w:val="06EA15F1"/>
    <w:rsid w:val="076B1672"/>
    <w:rsid w:val="07CD02C0"/>
    <w:rsid w:val="09C527D2"/>
    <w:rsid w:val="0B19782D"/>
    <w:rsid w:val="0B5F5FCF"/>
    <w:rsid w:val="0C2C5114"/>
    <w:rsid w:val="0C7849F9"/>
    <w:rsid w:val="0D3A63F7"/>
    <w:rsid w:val="0E146C48"/>
    <w:rsid w:val="0FE3246F"/>
    <w:rsid w:val="104F5C93"/>
    <w:rsid w:val="10F36FE9"/>
    <w:rsid w:val="12874C5D"/>
    <w:rsid w:val="14144B0C"/>
    <w:rsid w:val="14BA746D"/>
    <w:rsid w:val="16EB30C7"/>
    <w:rsid w:val="16F629B9"/>
    <w:rsid w:val="17122D53"/>
    <w:rsid w:val="1731136C"/>
    <w:rsid w:val="17DB07D7"/>
    <w:rsid w:val="19AF6DCC"/>
    <w:rsid w:val="1B8970FB"/>
    <w:rsid w:val="1BC25DF0"/>
    <w:rsid w:val="1D9C5B70"/>
    <w:rsid w:val="1E6C3F37"/>
    <w:rsid w:val="1EB64B60"/>
    <w:rsid w:val="1EE52218"/>
    <w:rsid w:val="1F5978C6"/>
    <w:rsid w:val="1F6E507C"/>
    <w:rsid w:val="201102CF"/>
    <w:rsid w:val="2074045F"/>
    <w:rsid w:val="234D2B0B"/>
    <w:rsid w:val="23D273AC"/>
    <w:rsid w:val="243E4D1F"/>
    <w:rsid w:val="27332718"/>
    <w:rsid w:val="27685906"/>
    <w:rsid w:val="27BE17EE"/>
    <w:rsid w:val="28DF395A"/>
    <w:rsid w:val="2907142C"/>
    <w:rsid w:val="29A97D58"/>
    <w:rsid w:val="2A252715"/>
    <w:rsid w:val="2A3654DB"/>
    <w:rsid w:val="2A4C2E6E"/>
    <w:rsid w:val="2B024961"/>
    <w:rsid w:val="2BD27A1E"/>
    <w:rsid w:val="2FD86E9B"/>
    <w:rsid w:val="307153DD"/>
    <w:rsid w:val="313D59B7"/>
    <w:rsid w:val="31401FA3"/>
    <w:rsid w:val="36154711"/>
    <w:rsid w:val="36CA5C2C"/>
    <w:rsid w:val="37582A72"/>
    <w:rsid w:val="39085BEC"/>
    <w:rsid w:val="397147CD"/>
    <w:rsid w:val="3A0375CA"/>
    <w:rsid w:val="3AF7027B"/>
    <w:rsid w:val="3AF818B3"/>
    <w:rsid w:val="3B750EE5"/>
    <w:rsid w:val="3C587DD4"/>
    <w:rsid w:val="42FB6058"/>
    <w:rsid w:val="43364990"/>
    <w:rsid w:val="478D08F6"/>
    <w:rsid w:val="49077CB8"/>
    <w:rsid w:val="498D4675"/>
    <w:rsid w:val="4B8169C4"/>
    <w:rsid w:val="4C740363"/>
    <w:rsid w:val="4D5526B0"/>
    <w:rsid w:val="4DA66A4D"/>
    <w:rsid w:val="4E367CEF"/>
    <w:rsid w:val="4EE01C53"/>
    <w:rsid w:val="4EEA7A70"/>
    <w:rsid w:val="4F24642B"/>
    <w:rsid w:val="4F383E2F"/>
    <w:rsid w:val="50FB7F6E"/>
    <w:rsid w:val="5209265C"/>
    <w:rsid w:val="520B77D1"/>
    <w:rsid w:val="53115506"/>
    <w:rsid w:val="55926977"/>
    <w:rsid w:val="57BD5228"/>
    <w:rsid w:val="583D1DD1"/>
    <w:rsid w:val="58971F5B"/>
    <w:rsid w:val="59B92E21"/>
    <w:rsid w:val="59D171A4"/>
    <w:rsid w:val="5A162CF0"/>
    <w:rsid w:val="5A752689"/>
    <w:rsid w:val="5BE81245"/>
    <w:rsid w:val="5C1301FD"/>
    <w:rsid w:val="5E03083C"/>
    <w:rsid w:val="5E224753"/>
    <w:rsid w:val="5E5232EC"/>
    <w:rsid w:val="5F07071D"/>
    <w:rsid w:val="60E66B0E"/>
    <w:rsid w:val="61611A47"/>
    <w:rsid w:val="61EA10F7"/>
    <w:rsid w:val="62422353"/>
    <w:rsid w:val="637235DB"/>
    <w:rsid w:val="637F7946"/>
    <w:rsid w:val="63BC79DF"/>
    <w:rsid w:val="63CF7452"/>
    <w:rsid w:val="644C132A"/>
    <w:rsid w:val="65406257"/>
    <w:rsid w:val="66AF572C"/>
    <w:rsid w:val="67546BF3"/>
    <w:rsid w:val="68B90674"/>
    <w:rsid w:val="69004F74"/>
    <w:rsid w:val="6A8F5489"/>
    <w:rsid w:val="6CF97AE0"/>
    <w:rsid w:val="6E7A636E"/>
    <w:rsid w:val="6F50511D"/>
    <w:rsid w:val="700229D8"/>
    <w:rsid w:val="7007308C"/>
    <w:rsid w:val="70EF1F9B"/>
    <w:rsid w:val="718B3E8F"/>
    <w:rsid w:val="72D93BA9"/>
    <w:rsid w:val="72FB2E21"/>
    <w:rsid w:val="73735622"/>
    <w:rsid w:val="743A6067"/>
    <w:rsid w:val="746438E7"/>
    <w:rsid w:val="74A71AB5"/>
    <w:rsid w:val="75112A0C"/>
    <w:rsid w:val="77E53334"/>
    <w:rsid w:val="7805701F"/>
    <w:rsid w:val="781872F0"/>
    <w:rsid w:val="78A74CC3"/>
    <w:rsid w:val="7B9330A9"/>
    <w:rsid w:val="7C7A4830"/>
    <w:rsid w:val="7D0B0AC6"/>
    <w:rsid w:val="7E183749"/>
    <w:rsid w:val="7F3E1BC2"/>
    <w:rsid w:val="EEFF2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2&#24180;&#36164;&#26009;&#21452;&#26032;&#20013;&#24515;\2022&#24180;&#20915;&#31639;&#36164;&#26009;\2022&#24180;&#24230;&#38750;&#36130;&#25919;&#25320;&#27454;&#25910;&#20837;&#39044;&#31639;&#35843;&#25972;&#12289;&#22791;&#26696;&#65288;&#36890;&#30693;&#12289;&#27169;&#26495;&#65289;(1)\2022&#24180;&#24230;&#38750;&#36130;&#25919;&#25320;&#27454;&#25910;&#20837;&#39044;&#31639;&#35843;&#25972;&#12289;&#22791;&#26696;\&#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2&#24180;&#36164;&#26009;&#21452;&#26032;&#20013;&#24515;\2022&#24180;&#20915;&#31639;&#36164;&#26009;\2022&#24180;&#24230;&#38750;&#36130;&#25919;&#25320;&#27454;&#25910;&#20837;&#39044;&#31639;&#35843;&#25972;&#12289;&#22791;&#26696;&#65288;&#36890;&#30693;&#12289;&#27169;&#26495;&#65289;(1)\2022&#24180;&#24230;&#38750;&#36130;&#25919;&#25320;&#27454;&#25910;&#20837;&#39044;&#31639;&#35843;&#25972;&#12289;&#22791;&#26696;\&#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'[新建 XLSX 工作表.xlsx]Sheet1'!$C$1</c:f>
              <c:strCache>
                <c:ptCount val="1"/>
                <c:pt idx="0">
                  <c:v>金额</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dLbl>
              <c:idx val="0"/>
              <c:layout>
                <c:manualLayout>
                  <c:x val="0.0461803783310742"/>
                  <c:y val="-0.0086971308332596"/>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1"/>
              <c:layout>
                <c:manualLayout>
                  <c:x val="-0.0101541833073258"/>
                  <c:y val="0.013141210742411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'[新建 XLSX 工作表.xlsx]Sheet1'!$B$2:$B$3</c:f>
              <c:strCache>
                <c:ptCount val="2"/>
                <c:pt idx="0">
                  <c:v>一般公共预算拨款收入</c:v>
                </c:pt>
                <c:pt idx="1">
                  <c:v>上年结转结余</c:v>
                </c:pt>
              </c:strCache>
            </c:strRef>
          </c:cat>
          <c:val>
            <c:numRef>
              <c:f>'[新建 XLSX 工作表.xlsx]Sheet1'!$C$2:$C$3</c:f>
              <c:numCache>
                <c:formatCode>General</c:formatCode>
                <c:ptCount val="2"/>
                <c:pt idx="0">
                  <c:v>2384.65</c:v>
                </c:pt>
                <c:pt idx="1">
                  <c:v>178</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'[新建 XLSX 工作表.xlsx]Sheet1'!$C$17</c:f>
              <c:strCache>
                <c:ptCount val="1"/>
                <c:pt idx="0">
                  <c:v>金额</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spPr>
                    <a:ln w="9525" cap="flat" cmpd="sng" algn="ctr">
                      <a:solidFill>
                        <a:schemeClr val="tx1">
                          <a:lumMod val="35000"/>
                          <a:lumOff val="65000"/>
                        </a:schemeClr>
                      </a:solidFill>
                      <a:round/>
                    </a:ln>
                    <a:effectLst/>
                  </c:spPr>
                </c15:leaderLines>
              </c:ext>
            </c:extLst>
          </c:dLbls>
          <c:cat>
            <c:strRef>
              <c:f>'[新建 XLSX 工作表.xlsx]Sheet1'!$B$18:$B$19</c:f>
              <c:strCache>
                <c:ptCount val="2"/>
                <c:pt idx="0">
                  <c:v>基本支出</c:v>
                </c:pt>
                <c:pt idx="1">
                  <c:v>项目支出</c:v>
                </c:pt>
              </c:strCache>
            </c:strRef>
          </c:cat>
          <c:val>
            <c:numRef>
              <c:f>'[新建 XLSX 工作表.xlsx]Sheet1'!$C$18:$C$19</c:f>
              <c:numCache>
                <c:formatCode>General</c:formatCode>
                <c:ptCount val="2"/>
                <c:pt idx="0">
                  <c:v>2354.65</c:v>
                </c:pt>
                <c:pt idx="1">
                  <c:v>208</c:v>
                </c:pt>
              </c:numCache>
            </c:numRef>
          </c:val>
        </c:ser>
        <c:dLbls>
          <c:showLegendKey val="false"/>
          <c:showVal val="false"/>
          <c:showCatName val="false"/>
          <c:showSerName val="false"/>
          <c:showPercent val="true"/>
          <c:showBubbleSize val="false"/>
          <c:showLeaderLines val="fals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2800</Words>
  <Characters>3219</Characters>
  <Lines>22</Lines>
  <Paragraphs>6</Paragraphs>
  <TotalTime>0</TotalTime>
  <ScaleCrop>false</ScaleCrop>
  <LinksUpToDate>false</LinksUpToDate>
  <CharactersWithSpaces>3245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2023-02-14T18:16:00Z</dcterms:created>
  <dc:creator>马 亚文</dc:creator>
  <cp:lastModifiedBy>uos</cp:lastModifiedBy>
  <dcterms:modified xsi:type="dcterms:W3CDTF">2023-02-28T14:40:17Z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38539BC381E346DC91E766A7C325308E</vt:lpwstr>
  </property>
</Properties>
</file>