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中关村高科技产业促进中心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根据《关于成立北京市新技术产业发展服务中心的函》（京编办事[1998]27号），设立北京市新技术产业发展服务中心。根据《关于同意北京市新技术产业发展服务中心更名的函》（京编办事[2005]13号）</w:t>
      </w:r>
      <w:r>
        <w:rPr>
          <w:rFonts w:hint="eastAsia" w:ascii="仿宋_GB2312" w:eastAsia="仿宋_GB2312"/>
          <w:color w:val="000000"/>
          <w:sz w:val="32"/>
          <w:szCs w:val="32"/>
        </w:rPr>
        <w:t>，</w:t>
      </w:r>
      <w:r>
        <w:rPr>
          <w:rFonts w:hint="eastAsia" w:ascii="仿宋_GB2312" w:eastAsia="仿宋_GB2312"/>
          <w:sz w:val="32"/>
          <w:szCs w:val="32"/>
        </w:rPr>
        <w:t>北京市新技术产业发展服务中心更名为中关村高科技产业促进中心。主要职责：承担相关高精尖产业和中关村示范区高科技产业发展规划、政策建议的研究以及信息收集整理与分析工作，组织开展产业促进、创新型企业培育、创新协作和交流交往等活动，牵头落实全市创新型企业服务工作专班及重点企业“服务包”任务，具体承担高新技术企业认定、科技型中小企业评价、一区多园统筹等政策的组织落实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中关村高科技产业促进中心</w:t>
      </w:r>
      <w:r>
        <w:rPr>
          <w:rFonts w:hint="eastAsia" w:ascii="仿宋_GB2312" w:hAnsi="仿宋" w:eastAsia="仿宋_GB2312"/>
          <w:sz w:val="32"/>
          <w:szCs w:val="32"/>
        </w:rPr>
        <w:t>下设7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eastAsia="仿宋_GB2312"/>
          <w:sz w:val="32"/>
          <w:szCs w:val="32"/>
        </w:rPr>
        <w:t>综合管理部、认定评价部、企业服务一部、企业服务二部、园区发展部、产业促进部和技术创新部</w:t>
      </w:r>
      <w:r>
        <w:rPr>
          <w:rFonts w:hint="eastAsia" w:ascii="仿宋_GB2312" w:hAnsi="仿宋"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中关村高科技产业促进中心事业编制48人，实有人数</w:t>
      </w:r>
      <w:r>
        <w:rPr>
          <w:rFonts w:hint="eastAsia" w:ascii="仿宋_GB2312" w:eastAsia="仿宋_GB2312"/>
          <w:color w:val="000000"/>
          <w:sz w:val="32"/>
          <w:szCs w:val="32"/>
        </w:rPr>
        <w:t>40人；</w:t>
      </w:r>
      <w:r>
        <w:rPr>
          <w:rFonts w:hint="eastAsia" w:ascii="仿宋_GB2312" w:eastAsia="仿宋_GB2312"/>
          <w:sz w:val="32"/>
          <w:szCs w:val="32"/>
        </w:rPr>
        <w:t>离退休人员</w:t>
      </w:r>
      <w:r>
        <w:rPr>
          <w:rFonts w:hint="eastAsia" w:ascii="仿宋_GB2312" w:eastAsia="仿宋_GB2312"/>
          <w:color w:val="000000"/>
          <w:sz w:val="32"/>
          <w:szCs w:val="32"/>
        </w:rPr>
        <w:t>5</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5</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w:t>
      </w:r>
      <w:r>
        <w:rPr>
          <w:rFonts w:hint="eastAsia" w:ascii="仿宋_GB2312" w:eastAsia="仿宋_GB2312"/>
          <w:sz w:val="32"/>
          <w:szCs w:val="32"/>
          <w:highlight w:val="none"/>
        </w:rPr>
        <w:t>预算3</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685.95万元，</w:t>
      </w:r>
      <w:r>
        <w:rPr>
          <w:rFonts w:hint="eastAsia" w:ascii="仿宋_GB2312" w:eastAsia="仿宋_GB2312"/>
          <w:sz w:val="32"/>
          <w:szCs w:val="32"/>
        </w:rPr>
        <w:t>比2022年年初预算数1</w:t>
      </w:r>
      <w:r>
        <w:rPr>
          <w:rFonts w:hint="eastAsia" w:ascii="仿宋_GB2312" w:eastAsia="仿宋_GB2312"/>
          <w:sz w:val="32"/>
          <w:szCs w:val="32"/>
          <w:lang w:val="en-US" w:eastAsia="zh-CN"/>
        </w:rPr>
        <w:t>,</w:t>
      </w:r>
      <w:r>
        <w:rPr>
          <w:rFonts w:hint="eastAsia" w:ascii="仿宋_GB2312" w:eastAsia="仿宋_GB2312"/>
          <w:sz w:val="32"/>
          <w:szCs w:val="32"/>
        </w:rPr>
        <w:t>590.99万元增加2</w:t>
      </w:r>
      <w:r>
        <w:rPr>
          <w:rFonts w:hint="eastAsia" w:ascii="仿宋_GB2312" w:eastAsia="仿宋_GB2312"/>
          <w:sz w:val="32"/>
          <w:szCs w:val="32"/>
          <w:lang w:val="en-US" w:eastAsia="zh-CN"/>
        </w:rPr>
        <w:t>,</w:t>
      </w:r>
      <w:r>
        <w:rPr>
          <w:rFonts w:hint="eastAsia" w:ascii="仿宋_GB2312" w:eastAsia="仿宋_GB2312"/>
          <w:sz w:val="32"/>
          <w:szCs w:val="32"/>
        </w:rPr>
        <w:t>094.96万元，增长131.68%。主要原因是事业单位改革后，单位的“三定”职责调整，</w:t>
      </w:r>
      <w:r>
        <w:rPr>
          <w:rFonts w:hint="eastAsia" w:ascii="仿宋_GB2312" w:eastAsia="仿宋_GB2312"/>
          <w:sz w:val="32"/>
          <w:szCs w:val="32"/>
          <w:lang w:val="en-US" w:eastAsia="zh-CN"/>
        </w:rPr>
        <w:t>增加了相关工作任务项目经费预算投入</w:t>
      </w:r>
      <w:r>
        <w:rPr>
          <w:rFonts w:hint="eastAsia" w:ascii="仿宋_GB2312" w:eastAsia="仿宋_GB2312"/>
          <w:sz w:val="32"/>
          <w:szCs w:val="32"/>
          <w:lang w:eastAsia="zh-CN"/>
        </w:rPr>
        <w:t>；</w:t>
      </w:r>
      <w:r>
        <w:rPr>
          <w:rFonts w:hint="eastAsia" w:ascii="仿宋_GB2312" w:eastAsia="仿宋_GB2312"/>
          <w:sz w:val="32"/>
          <w:szCs w:val="32"/>
          <w:lang w:val="en-US" w:eastAsia="zh-CN"/>
        </w:rPr>
        <w:t>以及继续消化使用上年部分项目经费结转资金。</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（一）本年财政拨款收入3</w:t>
      </w:r>
      <w:r>
        <w:rPr>
          <w:rFonts w:hint="eastAsia" w:ascii="楷体_GB2312" w:eastAsia="楷体_GB2312"/>
          <w:sz w:val="32"/>
          <w:szCs w:val="32"/>
          <w:lang w:val="en-US" w:eastAsia="zh-CN"/>
        </w:rPr>
        <w:t>,</w:t>
      </w:r>
      <w:r>
        <w:rPr>
          <w:rFonts w:hint="eastAsia" w:ascii="楷体_GB2312" w:eastAsia="楷体_GB2312"/>
          <w:sz w:val="32"/>
          <w:szCs w:val="32"/>
        </w:rPr>
        <w:t>136.06万元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1.一般公共预算拨款收入3</w:t>
      </w:r>
      <w:r>
        <w:rPr>
          <w:rFonts w:hint="eastAsia" w:ascii="仿宋_GB2312" w:eastAsia="仿宋_GB2312"/>
          <w:sz w:val="32"/>
          <w:szCs w:val="32"/>
          <w:lang w:val="en-US" w:eastAsia="zh-CN"/>
        </w:rPr>
        <w:t>,</w:t>
      </w:r>
      <w:r>
        <w:rPr>
          <w:rFonts w:hint="eastAsia" w:ascii="仿宋_GB2312" w:eastAsia="仿宋_GB2312"/>
          <w:sz w:val="32"/>
          <w:szCs w:val="32"/>
        </w:rPr>
        <w:t>136.06万元。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（三）上年结转结余549.89万元</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10.上年结转结余549.89万元。</w:t>
      </w:r>
    </w:p>
    <w:p>
      <w:pPr>
        <w:ind w:firstLine="2720" w:firstLineChars="850"/>
        <w:rPr>
          <w:rFonts w:hint="eastAsia" w:ascii="仿宋_GB2312" w:eastAsia="仿宋_GB2312"/>
          <w:sz w:val="32"/>
        </w:rPr>
      </w:pPr>
    </w:p>
    <w:p>
      <w:pPr>
        <w:ind w:firstLine="2720" w:firstLineChars="850"/>
        <w:rPr>
          <w:rFonts w:hint="eastAsia" w:ascii="仿宋_GB2312" w:eastAsia="仿宋_GB2312"/>
          <w:sz w:val="32"/>
        </w:rPr>
      </w:pPr>
    </w:p>
    <w:p>
      <w:pPr>
        <w:ind w:firstLine="2720" w:firstLineChars="850"/>
        <w:rPr>
          <w:rFonts w:hint="eastAsia" w:ascii="仿宋_GB2312" w:eastAsia="仿宋_GB2312"/>
          <w:sz w:val="32"/>
        </w:rPr>
      </w:pPr>
    </w:p>
    <w:p>
      <w:pPr>
        <w:ind w:firstLine="2720" w:firstLineChars="850"/>
        <w:rPr>
          <w:rFonts w:hint="eastAsia" w:ascii="仿宋_GB2312" w:eastAsia="仿宋_GB2312"/>
          <w:sz w:val="32"/>
        </w:rPr>
      </w:pPr>
    </w:p>
    <w:p>
      <w:pPr>
        <w:ind w:firstLine="2720" w:firstLineChars="850"/>
        <w:rPr>
          <w:rFonts w:hint="eastAsia" w:ascii="仿宋_GB2312" w:eastAsia="仿宋_GB2312"/>
          <w:sz w:val="32"/>
        </w:rPr>
      </w:pPr>
    </w:p>
    <w:p>
      <w:pPr>
        <w:ind w:firstLine="2720" w:firstLineChars="850"/>
        <w:rPr>
          <w:rFonts w:hint="eastAsia" w:ascii="仿宋_GB2312" w:eastAsia="仿宋_GB2312"/>
          <w:sz w:val="32"/>
        </w:rPr>
      </w:pPr>
    </w:p>
    <w:p>
      <w:pPr>
        <w:ind w:firstLine="2720" w:firstLineChars="850"/>
      </w:pPr>
      <w:r>
        <w:rPr>
          <w:rFonts w:hint="eastAsia" w:ascii="仿宋_GB2312" w:eastAsia="仿宋_GB2312"/>
          <w:sz w:val="32"/>
        </w:rPr>
        <w:t>图1：收入预算</w:t>
      </w:r>
    </w:p>
    <w:p>
      <w:pPr>
        <w:jc w:val="center"/>
        <w:rPr>
          <w:rFonts w:ascii="仿宋_GB2312" w:eastAsia="仿宋_GB2312"/>
          <w:sz w:val="32"/>
        </w:rPr>
      </w:pPr>
      <w:r>
        <w:rPr>
          <w:rFonts w:ascii="仿宋_GB2312" w:eastAsia="仿宋_GB2312"/>
          <w:sz w:val="32"/>
        </w:rPr>
        <w:drawing>
          <wp:inline distT="0" distB="0" distL="114300" distR="114300">
            <wp:extent cx="3780155" cy="2271395"/>
            <wp:effectExtent l="0" t="0" r="1270" b="5080"/>
            <wp:docPr id="1" name="图片 1" descr="收入预算"/>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收入预算"/>
                    <pic:cNvPicPr>
                      <a:picLocks noChangeAspect="true"/>
                    </pic:cNvPicPr>
                  </pic:nvPicPr>
                  <pic:blipFill>
                    <a:blip r:embed="rId5"/>
                    <a:stretch>
                      <a:fillRect/>
                    </a:stretch>
                  </pic:blipFill>
                  <pic:spPr>
                    <a:xfrm>
                      <a:off x="0" y="0"/>
                      <a:ext cx="3780155" cy="2271395"/>
                    </a:xfrm>
                    <a:prstGeom prst="rect">
                      <a:avLst/>
                    </a:prstGeom>
                  </pic:spPr>
                </pic:pic>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2023年支出预算3</w:t>
      </w:r>
      <w:r>
        <w:rPr>
          <w:rFonts w:hint="eastAsia" w:ascii="仿宋_GB2312" w:eastAsia="仿宋_GB2312"/>
          <w:sz w:val="32"/>
          <w:szCs w:val="32"/>
          <w:lang w:val="en-US" w:eastAsia="zh-CN"/>
        </w:rPr>
        <w:t>,</w:t>
      </w:r>
      <w:r>
        <w:rPr>
          <w:rFonts w:hint="eastAsia" w:ascii="仿宋_GB2312" w:eastAsia="仿宋_GB2312"/>
          <w:sz w:val="32"/>
          <w:szCs w:val="32"/>
        </w:rPr>
        <w:t>685.95万元，比2022年年初预算数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590.99</w:t>
      </w:r>
      <w:r>
        <w:rPr>
          <w:rFonts w:hint="eastAsia" w:ascii="仿宋_GB2312" w:eastAsia="仿宋_GB2312"/>
          <w:sz w:val="32"/>
          <w:szCs w:val="32"/>
        </w:rPr>
        <w:t>万元增加2</w:t>
      </w:r>
      <w:r>
        <w:rPr>
          <w:rFonts w:hint="eastAsia" w:ascii="仿宋_GB2312" w:eastAsia="仿宋_GB2312"/>
          <w:sz w:val="32"/>
          <w:szCs w:val="32"/>
          <w:lang w:val="en-US" w:eastAsia="zh-CN"/>
        </w:rPr>
        <w:t>,</w:t>
      </w:r>
      <w:r>
        <w:rPr>
          <w:rFonts w:hint="eastAsia" w:ascii="仿宋_GB2312" w:eastAsia="仿宋_GB2312"/>
          <w:sz w:val="32"/>
          <w:szCs w:val="32"/>
        </w:rPr>
        <w:t>094.96万元，增长131.68%。主要原因是事业单位改革后，单位的“三定”职责调整，</w:t>
      </w:r>
      <w:r>
        <w:rPr>
          <w:rFonts w:hint="eastAsia" w:ascii="仿宋_GB2312" w:eastAsia="仿宋_GB2312"/>
          <w:sz w:val="32"/>
          <w:szCs w:val="32"/>
          <w:lang w:val="en-US" w:eastAsia="zh-CN"/>
        </w:rPr>
        <w:t>增加了相关工作任务项目经费预算投入</w:t>
      </w:r>
      <w:r>
        <w:rPr>
          <w:rFonts w:hint="eastAsia" w:ascii="仿宋_GB2312" w:eastAsia="仿宋_GB2312"/>
          <w:sz w:val="32"/>
          <w:szCs w:val="32"/>
          <w:lang w:eastAsia="zh-CN"/>
        </w:rPr>
        <w:t>；</w:t>
      </w:r>
      <w:r>
        <w:rPr>
          <w:rFonts w:hint="eastAsia" w:ascii="仿宋_GB2312" w:eastAsia="仿宋_GB2312"/>
          <w:sz w:val="32"/>
          <w:szCs w:val="32"/>
          <w:lang w:val="en-US" w:eastAsia="zh-CN"/>
        </w:rPr>
        <w:t>以及继续消化使用上年部分项目经费结转资金。</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w:t>
      </w:r>
      <w:r>
        <w:rPr>
          <w:rFonts w:hint="eastAsia" w:ascii="仿宋_GB2312" w:eastAsia="仿宋_GB2312"/>
          <w:sz w:val="32"/>
          <w:szCs w:val="32"/>
          <w:lang w:val="en-US" w:eastAsia="zh-CN"/>
        </w:rPr>
        <w:t>,</w:t>
      </w:r>
      <w:r>
        <w:rPr>
          <w:rFonts w:hint="eastAsia" w:ascii="仿宋_GB2312" w:eastAsia="仿宋_GB2312"/>
          <w:sz w:val="32"/>
          <w:szCs w:val="32"/>
        </w:rPr>
        <w:t>733.41万元，占总支出预算47.03%，比2022年年初预算数</w:t>
      </w:r>
      <w:r>
        <w:rPr>
          <w:rFonts w:ascii="仿宋_GB2312" w:eastAsia="仿宋_GB2312"/>
          <w:sz w:val="32"/>
          <w:szCs w:val="32"/>
        </w:rPr>
        <w:t>1</w:t>
      </w:r>
      <w:r>
        <w:rPr>
          <w:rFonts w:hint="eastAsia" w:ascii="仿宋_GB2312" w:eastAsia="仿宋_GB2312"/>
          <w:sz w:val="32"/>
          <w:szCs w:val="32"/>
          <w:lang w:val="en-US" w:eastAsia="zh-CN"/>
        </w:rPr>
        <w:t>,</w:t>
      </w:r>
      <w:r>
        <w:rPr>
          <w:rFonts w:ascii="仿宋_GB2312" w:eastAsia="仿宋_GB2312"/>
          <w:sz w:val="32"/>
          <w:szCs w:val="32"/>
        </w:rPr>
        <w:t>368.49</w:t>
      </w:r>
      <w:r>
        <w:rPr>
          <w:rFonts w:hint="eastAsia" w:ascii="仿宋_GB2312" w:eastAsia="仿宋_GB2312"/>
          <w:sz w:val="32"/>
          <w:szCs w:val="32"/>
        </w:rPr>
        <w:t>万元增加364.92万元，增长26.67%。</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w:t>
      </w:r>
      <w:r>
        <w:rPr>
          <w:rFonts w:hint="eastAsia" w:ascii="仿宋_GB2312" w:eastAsia="仿宋_GB2312"/>
          <w:sz w:val="32"/>
          <w:szCs w:val="32"/>
          <w:lang w:val="en-US" w:eastAsia="zh-CN"/>
        </w:rPr>
        <w:t>,</w:t>
      </w:r>
      <w:r>
        <w:rPr>
          <w:rFonts w:hint="eastAsia" w:ascii="仿宋_GB2312" w:eastAsia="仿宋_GB2312"/>
          <w:sz w:val="32"/>
          <w:szCs w:val="32"/>
        </w:rPr>
        <w:t>952.54万元，比2022年年初预算数222.50万元增加1</w:t>
      </w:r>
      <w:r>
        <w:rPr>
          <w:rFonts w:hint="eastAsia" w:ascii="仿宋_GB2312" w:eastAsia="仿宋_GB2312"/>
          <w:sz w:val="32"/>
          <w:szCs w:val="32"/>
          <w:lang w:val="en-US" w:eastAsia="zh-CN"/>
        </w:rPr>
        <w:t>,</w:t>
      </w:r>
      <w:r>
        <w:rPr>
          <w:rFonts w:hint="eastAsia" w:ascii="仿宋_GB2312" w:eastAsia="仿宋_GB2312"/>
          <w:sz w:val="32"/>
          <w:szCs w:val="32"/>
        </w:rPr>
        <w:t>730.04万元，增长777.55%。其中：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hint="eastAsia" w:ascii="仿宋_GB2312" w:eastAsia="仿宋_GB2312"/>
          <w:sz w:val="32"/>
          <w:szCs w:val="32"/>
        </w:rPr>
      </w:pPr>
      <w:r>
        <w:rPr>
          <w:rFonts w:hint="eastAsia" w:ascii="仿宋_GB2312" w:eastAsia="仿宋_GB2312"/>
          <w:sz w:val="32"/>
          <w:szCs w:val="32"/>
        </w:rPr>
        <w:t>3.对附属单位补助支出0.00万元。</w:t>
      </w:r>
    </w:p>
    <w:p>
      <w:pPr>
        <w:spacing w:line="560" w:lineRule="exact"/>
        <w:ind w:firstLine="640"/>
        <w:jc w:val="center"/>
        <w:rPr>
          <w:rFonts w:hint="eastAsia" w:ascii="仿宋_GB2312" w:eastAsia="仿宋_GB2312"/>
          <w:sz w:val="32"/>
        </w:rPr>
      </w:pPr>
    </w:p>
    <w:p>
      <w:pPr>
        <w:spacing w:line="560" w:lineRule="exact"/>
        <w:ind w:firstLine="640"/>
        <w:jc w:val="center"/>
      </w:pPr>
      <w:r>
        <w:rPr>
          <w:rFonts w:hint="eastAsia" w:ascii="仿宋_GB2312" w:eastAsia="仿宋_GB2312"/>
          <w:sz w:val="32"/>
        </w:rPr>
        <w:t>图2：基本支出和项目支出情况</w:t>
      </w:r>
    </w:p>
    <w:p>
      <w:pPr>
        <w:pStyle w:val="2"/>
        <w:jc w:val="center"/>
      </w:pPr>
      <w:r>
        <w:drawing>
          <wp:inline distT="0" distB="0" distL="114300" distR="114300">
            <wp:extent cx="3780155" cy="2272665"/>
            <wp:effectExtent l="0" t="0" r="1270" b="3810"/>
            <wp:docPr id="2" name="图片 2" descr="基本和项目支出"/>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基本和项目支出"/>
                    <pic:cNvPicPr>
                      <a:picLocks noChangeAspect="true"/>
                    </pic:cNvPicPr>
                  </pic:nvPicPr>
                  <pic:blipFill>
                    <a:blip r:embed="rId6"/>
                    <a:stretch>
                      <a:fillRect/>
                    </a:stretch>
                  </pic:blipFill>
                  <pic:spPr>
                    <a:xfrm>
                      <a:off x="0" y="0"/>
                      <a:ext cx="3780155" cy="2272665"/>
                    </a:xfrm>
                    <a:prstGeom prst="rect">
                      <a:avLst/>
                    </a:prstGeom>
                  </pic:spPr>
                </pic:pic>
              </a:graphicData>
            </a:graphic>
          </wp:inline>
        </w:drawing>
      </w:r>
    </w:p>
    <w:p>
      <w:pPr>
        <w:spacing w:line="560" w:lineRule="exact"/>
        <w:ind w:firstLine="640" w:firstLineChars="200"/>
        <w:rPr>
          <w:rFonts w:hint="eastAsia"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本单位2023年无财政拨款安排的</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2023年中关村高科技产业促进中心政府采购预算总额1</w:t>
      </w:r>
      <w:r>
        <w:rPr>
          <w:rFonts w:hint="eastAsia" w:ascii="仿宋_GB2312" w:eastAsia="仿宋_GB2312"/>
          <w:sz w:val="32"/>
          <w:szCs w:val="32"/>
          <w:lang w:val="en-US" w:eastAsia="zh-CN"/>
        </w:rPr>
        <w:t>,</w:t>
      </w:r>
      <w:r>
        <w:rPr>
          <w:rFonts w:hint="eastAsia" w:ascii="仿宋_GB2312" w:eastAsia="仿宋_GB2312"/>
          <w:sz w:val="32"/>
          <w:szCs w:val="32"/>
        </w:rPr>
        <w:t>018.84万元，其中：政府采购货物预算27.53万元，政府采购工程预算0.00万元，政府采购服务预算991.31万元。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eastAsia="仿宋_GB2312"/>
          <w:sz w:val="32"/>
          <w:szCs w:val="32"/>
        </w:rPr>
        <w:t>本单位不属于政府购买服务购买主体</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2023年，中关村高科技产业促进中心填报绩效目标的预算项目5个，占本单位本年预算项目5个的100%。填报绩效目标的项目支出预算1</w:t>
      </w:r>
      <w:r>
        <w:rPr>
          <w:rFonts w:hint="eastAsia" w:ascii="仿宋_GB2312" w:eastAsia="仿宋_GB2312"/>
          <w:sz w:val="32"/>
          <w:szCs w:val="32"/>
          <w:lang w:val="en-US" w:eastAsia="zh-CN"/>
        </w:rPr>
        <w:t>,</w:t>
      </w:r>
      <w:r>
        <w:rPr>
          <w:rFonts w:hint="eastAsia" w:ascii="仿宋_GB2312" w:eastAsia="仿宋_GB2312"/>
          <w:sz w:val="32"/>
          <w:szCs w:val="32"/>
        </w:rPr>
        <w:t>427.90万元，占本单位本年项目支出预算的100%。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年底，中关村高科技产业促进中心共有车辆0台，共计0.00元；单位价值50万元以上的通用设备0台（套），共计0.00万元，单位价值100万元以上的专用设备0台（套）、共计0.00万元。</w:t>
      </w:r>
    </w:p>
    <w:p>
      <w:pPr>
        <w:numPr>
          <w:ilvl w:val="0"/>
          <w:numId w:val="2"/>
        </w:num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附件：中关村高科技产业促进中心2023年度单位预算报表</w:t>
      </w: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Droid Sans">
    <w:altName w:val="文泉驿微米黑"/>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Microsoft YaHei UI">
    <w:altName w:val="文泉驿微米黑"/>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path/>
          <v:fill on="f" focussize="0,0"/>
          <v:stroke on="f"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xZTlhZWY5YzcxZDcyMjNlNTA2YTA3MGU5NWIyMDYifQ=="/>
    <w:docVar w:name="KSO_WPS_MARK_KEY" w:val="4cc22e94-bd14-4674-a45b-431b2d5a7a0e"/>
  </w:docVars>
  <w:rsids>
    <w:rsidRoot w:val="00DA3E64"/>
    <w:rsid w:val="00041FDB"/>
    <w:rsid w:val="001F075F"/>
    <w:rsid w:val="001F1396"/>
    <w:rsid w:val="002376FB"/>
    <w:rsid w:val="00285E3D"/>
    <w:rsid w:val="002B5CB7"/>
    <w:rsid w:val="004062C2"/>
    <w:rsid w:val="004230FC"/>
    <w:rsid w:val="005043D6"/>
    <w:rsid w:val="00545906"/>
    <w:rsid w:val="005D4DC4"/>
    <w:rsid w:val="00663FBA"/>
    <w:rsid w:val="006C22CD"/>
    <w:rsid w:val="0072423D"/>
    <w:rsid w:val="00943CCB"/>
    <w:rsid w:val="009D6C86"/>
    <w:rsid w:val="00AA0B9A"/>
    <w:rsid w:val="00BC3BD0"/>
    <w:rsid w:val="00BE18F1"/>
    <w:rsid w:val="00BF4454"/>
    <w:rsid w:val="00CD6035"/>
    <w:rsid w:val="00CF58DA"/>
    <w:rsid w:val="00D14FFD"/>
    <w:rsid w:val="00DA3E64"/>
    <w:rsid w:val="00E13DA0"/>
    <w:rsid w:val="00EA43EB"/>
    <w:rsid w:val="00EA503F"/>
    <w:rsid w:val="00F528D5"/>
    <w:rsid w:val="017A19A1"/>
    <w:rsid w:val="017C2CB3"/>
    <w:rsid w:val="01A00569"/>
    <w:rsid w:val="042A5AF7"/>
    <w:rsid w:val="04447FB3"/>
    <w:rsid w:val="06EA15F1"/>
    <w:rsid w:val="07CD02C0"/>
    <w:rsid w:val="0AA65B4B"/>
    <w:rsid w:val="0B19782D"/>
    <w:rsid w:val="0C2C5114"/>
    <w:rsid w:val="0C471775"/>
    <w:rsid w:val="0C7849F9"/>
    <w:rsid w:val="0D3A63F7"/>
    <w:rsid w:val="0E146C48"/>
    <w:rsid w:val="0FE3246F"/>
    <w:rsid w:val="10F36FE9"/>
    <w:rsid w:val="14144B0C"/>
    <w:rsid w:val="16EB30C7"/>
    <w:rsid w:val="16F629B9"/>
    <w:rsid w:val="17122D53"/>
    <w:rsid w:val="1731136C"/>
    <w:rsid w:val="19AF6DCC"/>
    <w:rsid w:val="1B8970FB"/>
    <w:rsid w:val="1BC25DF0"/>
    <w:rsid w:val="1E6C3F37"/>
    <w:rsid w:val="1EE52218"/>
    <w:rsid w:val="1EF22DD4"/>
    <w:rsid w:val="1F6E507C"/>
    <w:rsid w:val="1F703EA7"/>
    <w:rsid w:val="2074045F"/>
    <w:rsid w:val="21381B25"/>
    <w:rsid w:val="22644F98"/>
    <w:rsid w:val="234D2B0B"/>
    <w:rsid w:val="252A3E61"/>
    <w:rsid w:val="25D210ED"/>
    <w:rsid w:val="27332718"/>
    <w:rsid w:val="275B1767"/>
    <w:rsid w:val="27BE17EE"/>
    <w:rsid w:val="28DF395A"/>
    <w:rsid w:val="2907142C"/>
    <w:rsid w:val="29A97D58"/>
    <w:rsid w:val="2A252715"/>
    <w:rsid w:val="2A3654DB"/>
    <w:rsid w:val="2A4C2E6E"/>
    <w:rsid w:val="2B024961"/>
    <w:rsid w:val="2BD27A1E"/>
    <w:rsid w:val="2E4E7ED3"/>
    <w:rsid w:val="2FD86E9B"/>
    <w:rsid w:val="307153DD"/>
    <w:rsid w:val="31401FA3"/>
    <w:rsid w:val="31B71288"/>
    <w:rsid w:val="325674FD"/>
    <w:rsid w:val="36154711"/>
    <w:rsid w:val="36CA5C2C"/>
    <w:rsid w:val="37582A72"/>
    <w:rsid w:val="39B60FD2"/>
    <w:rsid w:val="3AF818B3"/>
    <w:rsid w:val="3B051543"/>
    <w:rsid w:val="3B750EE5"/>
    <w:rsid w:val="3C00782B"/>
    <w:rsid w:val="3C587DD4"/>
    <w:rsid w:val="3CA33085"/>
    <w:rsid w:val="3E1D6BA4"/>
    <w:rsid w:val="3E8310FD"/>
    <w:rsid w:val="42FB25DF"/>
    <w:rsid w:val="42FB6058"/>
    <w:rsid w:val="43364990"/>
    <w:rsid w:val="45DD0BC4"/>
    <w:rsid w:val="478D08F6"/>
    <w:rsid w:val="49077CB8"/>
    <w:rsid w:val="498D4675"/>
    <w:rsid w:val="4C740363"/>
    <w:rsid w:val="4C9D6F07"/>
    <w:rsid w:val="4D433D09"/>
    <w:rsid w:val="4DA66A4D"/>
    <w:rsid w:val="4E367CEF"/>
    <w:rsid w:val="4EE01C53"/>
    <w:rsid w:val="4F24642B"/>
    <w:rsid w:val="4F383E2F"/>
    <w:rsid w:val="50FB7F6E"/>
    <w:rsid w:val="5209265C"/>
    <w:rsid w:val="55926977"/>
    <w:rsid w:val="57BD5228"/>
    <w:rsid w:val="583D1DD1"/>
    <w:rsid w:val="58971F5B"/>
    <w:rsid w:val="59B92E21"/>
    <w:rsid w:val="59F56864"/>
    <w:rsid w:val="5A162CF0"/>
    <w:rsid w:val="5A752689"/>
    <w:rsid w:val="5AEF68CC"/>
    <w:rsid w:val="5BB723B7"/>
    <w:rsid w:val="5BE81245"/>
    <w:rsid w:val="5CA229EF"/>
    <w:rsid w:val="5E03083C"/>
    <w:rsid w:val="5E224753"/>
    <w:rsid w:val="5E7B374F"/>
    <w:rsid w:val="5F07071D"/>
    <w:rsid w:val="60E66B0E"/>
    <w:rsid w:val="61611A47"/>
    <w:rsid w:val="61EA10F7"/>
    <w:rsid w:val="620F1C8D"/>
    <w:rsid w:val="62422353"/>
    <w:rsid w:val="637235DB"/>
    <w:rsid w:val="63BC79DF"/>
    <w:rsid w:val="644C132A"/>
    <w:rsid w:val="6531032C"/>
    <w:rsid w:val="65406257"/>
    <w:rsid w:val="66AF572C"/>
    <w:rsid w:val="67546BF3"/>
    <w:rsid w:val="68794027"/>
    <w:rsid w:val="68B90674"/>
    <w:rsid w:val="69004F74"/>
    <w:rsid w:val="6F50511D"/>
    <w:rsid w:val="7007308C"/>
    <w:rsid w:val="70EF1F9B"/>
    <w:rsid w:val="718B3E8F"/>
    <w:rsid w:val="72D93BA9"/>
    <w:rsid w:val="72FB2E21"/>
    <w:rsid w:val="7386076C"/>
    <w:rsid w:val="75112A0C"/>
    <w:rsid w:val="78A74CC3"/>
    <w:rsid w:val="798C5743"/>
    <w:rsid w:val="7AFBC850"/>
    <w:rsid w:val="7D0B0AC6"/>
    <w:rsid w:val="7E1837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2 字符"/>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字符"/>
    <w:basedOn w:val="9"/>
    <w:link w:val="3"/>
    <w:qFormat/>
    <w:uiPriority w:val="99"/>
    <w:rPr>
      <w:rFonts w:ascii="Times New Roman" w:hAnsi="Times New Roman" w:eastAsia="宋体" w:cs="Droid Sans"/>
      <w:szCs w:val="24"/>
    </w:rPr>
  </w:style>
  <w:style w:type="character" w:customStyle="1" w:styleId="16">
    <w:name w:val="批注主题 字符"/>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字符"/>
    <w:basedOn w:val="9"/>
    <w:link w:val="4"/>
    <w:semiHidden/>
    <w:qFormat/>
    <w:uiPriority w:val="99"/>
    <w:rPr>
      <w:rFonts w:ascii="Times New Roman" w:hAnsi="Times New Roman" w:eastAsia="宋体" w:cs="Droid Sans"/>
      <w:kern w:val="2"/>
      <w:sz w:val="18"/>
      <w:szCs w:val="18"/>
    </w:rPr>
  </w:style>
  <w:style w:type="paragraph" w:customStyle="1" w:styleId="20">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1860</Words>
  <Characters>2156</Characters>
  <Lines>15</Lines>
  <Paragraphs>4</Paragraphs>
  <TotalTime>2</TotalTime>
  <ScaleCrop>false</ScaleCrop>
  <LinksUpToDate>false</LinksUpToDate>
  <CharactersWithSpaces>2177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2023-02-14T18:16:00Z</dcterms:created>
  <dc:creator>马 亚文</dc:creator>
  <cp:lastModifiedBy>uos</cp:lastModifiedBy>
  <dcterms:modified xsi:type="dcterms:W3CDTF">2023-02-28T14:40:54Z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38539BC381E346DC91E766A7C325308E</vt:lpwstr>
  </property>
</Properties>
</file>