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中关村政府采购促进中心</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ascii="方正小标宋简体" w:eastAsia="方正小标宋简体"/>
          <w:color w:val="000000"/>
          <w:sz w:val="36"/>
          <w:szCs w:val="36"/>
        </w:rPr>
      </w:pPr>
      <w:r>
        <w:rPr>
          <w:rFonts w:hint="eastAsia" w:ascii="仿宋_GB2312" w:hAnsi="仿宋_GB2312" w:eastAsia="仿宋_GB2312" w:cs="仿宋_GB2312"/>
          <w:color w:val="000000"/>
          <w:spacing w:val="-18"/>
          <w:kern w:val="0"/>
          <w:sz w:val="32"/>
          <w:szCs w:val="32"/>
          <w:lang w:val="zh-CN"/>
        </w:rPr>
        <w:t>十三、项目支出绩效目标表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pPr>
      <w:r>
        <w:rPr>
          <w:rFonts w:hint="eastAsia" w:ascii="仿宋_GB2312" w:eastAsia="仿宋_GB2312"/>
          <w:color w:val="000000"/>
          <w:sz w:val="32"/>
          <w:szCs w:val="32"/>
        </w:rPr>
        <w:t>根据</w:t>
      </w:r>
      <w:r>
        <w:rPr>
          <w:rFonts w:hint="eastAsia" w:ascii="仿宋_GB2312" w:eastAsia="仿宋_GB2312"/>
          <w:color w:val="000000"/>
          <w:sz w:val="32"/>
          <w:szCs w:val="32"/>
          <w:lang w:eastAsia="zh-CN"/>
        </w:rPr>
        <w:t>《</w:t>
      </w:r>
      <w:r>
        <w:rPr>
          <w:rFonts w:hint="eastAsia" w:ascii="仿宋_GB2312" w:eastAsia="仿宋_GB2312"/>
          <w:color w:val="000000"/>
          <w:sz w:val="32"/>
          <w:szCs w:val="32"/>
        </w:rPr>
        <w:t>北京市机构编制委员会办公室关于同意设立中关村政府采购促进中心的函</w:t>
      </w:r>
      <w:r>
        <w:rPr>
          <w:rFonts w:hint="eastAsia" w:ascii="仿宋_GB2312" w:eastAsia="仿宋_GB2312"/>
          <w:color w:val="000000"/>
          <w:sz w:val="32"/>
          <w:szCs w:val="32"/>
          <w:lang w:eastAsia="zh-CN"/>
        </w:rPr>
        <w:t>》</w:t>
      </w:r>
      <w:r>
        <w:rPr>
          <w:rFonts w:hint="eastAsia" w:ascii="仿宋_GB2312" w:eastAsia="仿宋_GB2312"/>
          <w:color w:val="000000"/>
          <w:sz w:val="32"/>
          <w:szCs w:val="32"/>
        </w:rPr>
        <w:t>（京编事办[2011]27号）</w:t>
      </w:r>
      <w:r>
        <w:rPr>
          <w:rFonts w:hint="eastAsia" w:ascii="仿宋_GB2312" w:eastAsia="仿宋_GB2312"/>
          <w:color w:val="000000"/>
          <w:sz w:val="32"/>
          <w:szCs w:val="32"/>
          <w:lang w:eastAsia="zh-CN"/>
        </w:rPr>
        <w:t>文件，设立</w:t>
      </w:r>
      <w:r>
        <w:rPr>
          <w:rFonts w:hint="eastAsia" w:ascii="仿宋_GB2312" w:eastAsia="仿宋_GB2312"/>
          <w:color w:val="000000"/>
          <w:sz w:val="32"/>
          <w:szCs w:val="32"/>
        </w:rPr>
        <w:t>中关村政府采购促进中心</w:t>
      </w:r>
      <w:r>
        <w:rPr>
          <w:rFonts w:hint="eastAsia" w:ascii="仿宋_GB2312" w:eastAsia="仿宋_GB2312"/>
          <w:color w:val="000000"/>
          <w:sz w:val="32"/>
          <w:szCs w:val="32"/>
          <w:lang w:eastAsia="zh-CN"/>
        </w:rPr>
        <w:t>。</w:t>
      </w:r>
      <w:r>
        <w:rPr>
          <w:rFonts w:hint="eastAsia" w:ascii="仿宋_GB2312" w:eastAsia="仿宋_GB2312"/>
          <w:color w:val="000000"/>
          <w:sz w:val="32"/>
          <w:szCs w:val="32"/>
        </w:rPr>
        <w:t>根据《中共北京市委机构编制委员会关于市科委、中关村管委会所属事业单位改革有关事项的批复》（京编委</w:t>
      </w:r>
      <w:r>
        <w:rPr>
          <w:rFonts w:ascii="仿宋_GB2312" w:eastAsia="仿宋_GB2312"/>
          <w:color w:val="000000"/>
          <w:sz w:val="32"/>
          <w:szCs w:val="32"/>
        </w:rPr>
        <w:t xml:space="preserve"> </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2021</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66号）文件，</w:t>
      </w:r>
      <w:r>
        <w:rPr>
          <w:rFonts w:hint="eastAsia" w:ascii="仿宋_GB2312" w:eastAsia="仿宋_GB2312"/>
          <w:color w:val="000000"/>
          <w:sz w:val="32"/>
          <w:szCs w:val="32"/>
          <w:lang w:val="en-US" w:eastAsia="zh-CN"/>
        </w:rPr>
        <w:t>保留</w:t>
      </w:r>
      <w:r>
        <w:rPr>
          <w:rFonts w:hint="eastAsia" w:ascii="仿宋_GB2312" w:eastAsia="仿宋_GB2312"/>
          <w:color w:val="000000"/>
          <w:sz w:val="32"/>
          <w:szCs w:val="32"/>
        </w:rPr>
        <w:t>中关村政府采购促进中心。主要职责：新技术新产品（服务）政府采购综合服务平台建设工作，开展信息收集、项目推介和对接活动、项目跟踪服务工作，具体承担中关村论坛展示交易板块筹办等工作，展览展示活动策划实施工作，科技新场景建设相关工作。</w:t>
      </w:r>
    </w:p>
    <w:p>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（二）机构设置情况</w:t>
      </w:r>
    </w:p>
    <w:p>
      <w:pPr>
        <w:spacing w:line="560" w:lineRule="exact"/>
        <w:ind w:firstLine="640" w:firstLineChars="200"/>
        <w:rPr>
          <w:rFonts w:ascii="楷体_GB2312" w:eastAsia="楷体_GB2312"/>
          <w:color w:val="000000"/>
          <w:sz w:val="32"/>
          <w:szCs w:val="32"/>
        </w:rPr>
      </w:pPr>
      <w:r>
        <w:rPr>
          <w:rFonts w:hint="eastAsia" w:ascii="仿宋_GB2312" w:eastAsia="仿宋_GB2312"/>
          <w:color w:val="000000"/>
          <w:sz w:val="32"/>
          <w:szCs w:val="32"/>
        </w:rPr>
        <w:t>中关村政府采购促进中心</w:t>
      </w:r>
      <w:r>
        <w:rPr>
          <w:rFonts w:ascii="仿宋_GB2312" w:eastAsia="仿宋_GB2312"/>
          <w:color w:val="000000"/>
          <w:sz w:val="32"/>
          <w:szCs w:val="32"/>
        </w:rPr>
        <w:t>内设</w:t>
      </w:r>
      <w:r>
        <w:rPr>
          <w:rFonts w:hint="eastAsia" w:ascii="仿宋_GB2312" w:eastAsia="仿宋_GB2312"/>
          <w:color w:val="000000"/>
          <w:sz w:val="32"/>
          <w:szCs w:val="32"/>
        </w:rPr>
        <w:t>4</w:t>
      </w:r>
      <w:r>
        <w:rPr>
          <w:rFonts w:ascii="仿宋_GB2312" w:eastAsia="仿宋_GB2312"/>
          <w:color w:val="000000"/>
          <w:sz w:val="32"/>
          <w:szCs w:val="32"/>
        </w:rPr>
        <w:t>个</w:t>
      </w:r>
      <w:r>
        <w:rPr>
          <w:rFonts w:hint="eastAsia" w:ascii="仿宋_GB2312" w:eastAsia="仿宋_GB2312"/>
          <w:color w:val="000000"/>
          <w:sz w:val="32"/>
          <w:szCs w:val="32"/>
        </w:rPr>
        <w:t>部门</w:t>
      </w:r>
      <w:r>
        <w:rPr>
          <w:rFonts w:ascii="仿宋_GB2312" w:eastAsia="仿宋_GB2312"/>
          <w:color w:val="000000"/>
          <w:sz w:val="32"/>
          <w:szCs w:val="32"/>
        </w:rPr>
        <w:t>，分别</w:t>
      </w:r>
      <w:r>
        <w:rPr>
          <w:rFonts w:hint="eastAsia" w:ascii="仿宋_GB2312" w:eastAsia="仿宋_GB2312"/>
          <w:color w:val="000000"/>
          <w:sz w:val="32"/>
          <w:szCs w:val="32"/>
        </w:rPr>
        <w:t>是</w:t>
      </w:r>
      <w:r>
        <w:rPr>
          <w:rFonts w:ascii="仿宋_GB2312" w:eastAsia="仿宋_GB2312"/>
          <w:color w:val="000000"/>
          <w:sz w:val="32"/>
          <w:szCs w:val="32"/>
        </w:rPr>
        <w:t>综合</w:t>
      </w:r>
      <w:r>
        <w:rPr>
          <w:rFonts w:hint="eastAsia" w:ascii="仿宋_GB2312" w:eastAsia="仿宋_GB2312"/>
          <w:color w:val="000000"/>
          <w:sz w:val="32"/>
          <w:szCs w:val="32"/>
        </w:rPr>
        <w:t>管理部</w:t>
      </w:r>
      <w:r>
        <w:rPr>
          <w:rFonts w:ascii="仿宋_GB2312" w:eastAsia="仿宋_GB2312"/>
          <w:color w:val="000000"/>
          <w:sz w:val="32"/>
          <w:szCs w:val="32"/>
        </w:rPr>
        <w:t>、</w:t>
      </w:r>
      <w:r>
        <w:rPr>
          <w:rFonts w:hint="eastAsia" w:ascii="仿宋_GB2312" w:eastAsia="仿宋_GB2312"/>
          <w:color w:val="000000"/>
          <w:sz w:val="32"/>
          <w:szCs w:val="32"/>
        </w:rPr>
        <w:t>中关村论坛一部、中关村论坛二部和</w:t>
      </w:r>
      <w:r>
        <w:rPr>
          <w:rFonts w:ascii="仿宋_GB2312" w:eastAsia="仿宋_GB2312"/>
          <w:color w:val="000000"/>
          <w:sz w:val="32"/>
          <w:szCs w:val="32"/>
        </w:rPr>
        <w:t>推广</w:t>
      </w:r>
      <w:r>
        <w:rPr>
          <w:rFonts w:hint="eastAsia" w:ascii="仿宋_GB2312" w:eastAsia="仿宋_GB2312"/>
          <w:color w:val="000000"/>
          <w:sz w:val="32"/>
          <w:szCs w:val="32"/>
        </w:rPr>
        <w:t>与</w:t>
      </w:r>
      <w:r>
        <w:rPr>
          <w:rFonts w:ascii="仿宋_GB2312" w:eastAsia="仿宋_GB2312"/>
          <w:color w:val="000000"/>
          <w:sz w:val="32"/>
          <w:szCs w:val="32"/>
        </w:rPr>
        <w:t>应用</w:t>
      </w:r>
      <w:r>
        <w:rPr>
          <w:rFonts w:hint="eastAsia" w:ascii="仿宋_GB2312" w:eastAsia="仿宋_GB2312"/>
          <w:color w:val="000000"/>
          <w:sz w:val="32"/>
          <w:szCs w:val="32"/>
        </w:rPr>
        <w:t>部，无下属单位</w:t>
      </w:r>
      <w:r>
        <w:rPr>
          <w:rFonts w:ascii="仿宋_GB2312" w:eastAsia="仿宋_GB2312"/>
          <w:color w:val="000000"/>
          <w:sz w:val="32"/>
          <w:szCs w:val="32"/>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中关村政府采购促进中心事业编制24人，实有人数17人；</w:t>
      </w:r>
      <w:r>
        <w:rPr>
          <w:rFonts w:hint="eastAsia" w:ascii="仿宋_GB2312" w:eastAsia="仿宋_GB2312"/>
          <w:sz w:val="32"/>
          <w:szCs w:val="32"/>
        </w:rPr>
        <w:t>离退休人员</w:t>
      </w:r>
      <w:r>
        <w:rPr>
          <w:rFonts w:hint="eastAsia" w:ascii="仿宋_GB2312" w:eastAsia="仿宋_GB2312"/>
          <w:color w:val="000000"/>
          <w:sz w:val="32"/>
          <w:szCs w:val="32"/>
        </w:rPr>
        <w:t>1</w:t>
      </w:r>
      <w:r>
        <w:rPr>
          <w:rFonts w:ascii="仿宋_GB2312" w:eastAsia="仿宋_GB2312"/>
          <w:sz w:val="32"/>
          <w:szCs w:val="32"/>
        </w:rPr>
        <w:t>人，其中：离休</w:t>
      </w:r>
      <w:r>
        <w:rPr>
          <w:rFonts w:hint="eastAsia" w:ascii="仿宋_GB2312" w:eastAsia="仿宋_GB2312"/>
          <w:sz w:val="32"/>
          <w:szCs w:val="32"/>
        </w:rPr>
        <w:t>人员</w:t>
      </w:r>
      <w:r>
        <w:rPr>
          <w:rFonts w:hint="eastAsia" w:ascii="仿宋_GB2312" w:eastAsia="仿宋_GB2312"/>
          <w:color w:val="000000"/>
          <w:sz w:val="32"/>
          <w:szCs w:val="32"/>
        </w:rPr>
        <w:t>0</w:t>
      </w:r>
      <w:r>
        <w:rPr>
          <w:rFonts w:ascii="仿宋_GB2312" w:eastAsia="仿宋_GB2312"/>
          <w:sz w:val="32"/>
          <w:szCs w:val="32"/>
        </w:rPr>
        <w:t>人，退休</w:t>
      </w:r>
      <w:r>
        <w:rPr>
          <w:rFonts w:hint="eastAsia" w:ascii="仿宋_GB2312" w:eastAsia="仿宋_GB2312"/>
          <w:sz w:val="32"/>
          <w:szCs w:val="32"/>
        </w:rPr>
        <w:t>人员</w:t>
      </w:r>
      <w:r>
        <w:rPr>
          <w:rFonts w:hint="eastAsia" w:ascii="仿宋_GB2312" w:eastAsia="仿宋_GB2312"/>
          <w:color w:val="000000"/>
          <w:sz w:val="32"/>
          <w:szCs w:val="32"/>
        </w:rPr>
        <w:t>1</w:t>
      </w:r>
      <w:r>
        <w:rPr>
          <w:rFonts w:ascii="仿宋_GB2312" w:eastAsia="仿宋_GB2312"/>
          <w:sz w:val="32"/>
          <w:szCs w:val="32"/>
        </w:rPr>
        <w:t>人。</w:t>
      </w:r>
    </w:p>
    <w:p>
      <w:pPr>
        <w:spacing w:line="560" w:lineRule="exact"/>
        <w:ind w:firstLine="640" w:firstLineChars="200"/>
        <w:rPr>
          <w:rFonts w:ascii="黑体" w:eastAsia="黑体"/>
          <w:color w:val="FF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hAnsi="仿宋_GB2312" w:eastAsia="仿宋_GB2312" w:cs="仿宋_GB2312"/>
          <w:sz w:val="32"/>
        </w:rPr>
      </w:pPr>
      <w:r>
        <w:rPr>
          <w:rFonts w:hint="eastAsia" w:ascii="仿宋_GB2312" w:eastAsia="仿宋_GB2312"/>
          <w:sz w:val="32"/>
          <w:szCs w:val="32"/>
        </w:rPr>
        <w:t>2023年度收入预算2,167.49万元，比2022年年初预算数1,368.80万元增加798.69万元，增长58.35%。主要原因是根据工作安排，继续消化使用上年部分项目经费结转资金。</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（一）本年财政拨款收入1,814.08万元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1.一般公共预算拨款收入1,814.08万元。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hint="eastAsia" w:ascii="仿宋_GB2312" w:eastAsia="仿宋_GB2312"/>
          <w:sz w:val="32"/>
          <w:szCs w:val="32"/>
        </w:rPr>
        <w:t>0.00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（三）上年结转结余353.41万元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w:t>
      </w:r>
      <w:r>
        <w:rPr>
          <w:rFonts w:hint="eastAsia" w:ascii="楷体_GB2312" w:eastAsia="楷体_GB2312"/>
          <w:sz w:val="32"/>
          <w:szCs w:val="32"/>
        </w:rPr>
        <w:t>353.41</w:t>
      </w:r>
      <w:r>
        <w:rPr>
          <w:rFonts w:hint="eastAsia" w:ascii="仿宋_GB2312" w:eastAsia="仿宋_GB2312"/>
          <w:sz w:val="32"/>
          <w:szCs w:val="32"/>
        </w:rPr>
        <w:t>万元。</w:t>
      </w:r>
    </w:p>
    <w:p>
      <w:pPr>
        <w:pStyle w:val="2"/>
        <w:jc w:val="center"/>
        <w:rPr>
          <w:rFonts w:ascii="仿宋_GB2312" w:eastAsia="仿宋_GB2312"/>
          <w:color w:val="000000" w:themeColor="text1"/>
          <w:sz w:val="32"/>
          <w14:textFill>
            <w14:solidFill>
              <w14:schemeClr w14:val="tx1"/>
            </w14:solidFill>
          </w14:textFill>
        </w:rPr>
      </w:pPr>
      <w:r>
        <w:rPr>
          <w:b w:val="0"/>
          <w:bCs w:val="0"/>
        </w:rPr>
        <w:drawing>
          <wp:anchor distT="0" distB="0" distL="114300" distR="114300" simplePos="0" relativeHeight="251660288" behindDoc="0" locked="0" layoutInCell="1" allowOverlap="1">
            <wp:simplePos x="0" y="0"/>
            <wp:positionH relativeFrom="margin">
              <wp:posOffset>451485</wp:posOffset>
            </wp:positionH>
            <wp:positionV relativeFrom="paragraph">
              <wp:posOffset>599440</wp:posOffset>
            </wp:positionV>
            <wp:extent cx="4462145" cy="2783840"/>
            <wp:effectExtent l="12700" t="12700" r="20955" b="13335"/>
            <wp:wrapNone/>
            <wp:docPr id="6" name="图片 3"/>
            <wp:cNvGraphicFramePr/>
            <a:graphic xmlns:a="http://schemas.openxmlformats.org/drawingml/2006/main">
              <a:graphicData uri="http://schemas.openxmlformats.org/drawingml/2006/picture">
                <pic:pic xmlns:pic="http://schemas.openxmlformats.org/drawingml/2006/picture">
                  <pic:nvPicPr>
                    <pic:cNvPr id="6" name="图片 3"/>
                    <pic:cNvPicPr/>
                  </pic:nvPicPr>
                  <pic:blipFill>
                    <a:blip r:embed="rId5">
                      <a:extLst>
                        <a:ext uri="{28A0092B-C50C-407E-A947-70E740481C1C}">
                          <a14:useLocalDpi xmlns:a14="http://schemas.microsoft.com/office/drawing/2010/main" val="0"/>
                        </a:ext>
                      </a:extLst>
                    </a:blip>
                    <a:stretch>
                      <a:fillRect/>
                    </a:stretch>
                  </pic:blipFill>
                  <pic:spPr>
                    <a:xfrm>
                      <a:off x="0" y="0"/>
                      <a:ext cx="4462145" cy="2783840"/>
                    </a:xfrm>
                    <a:prstGeom prst="rect">
                      <a:avLst/>
                    </a:prstGeom>
                    <a:ln w="12700" cap="sq" cmpd="sng">
                      <a:solidFill>
                        <a:schemeClr val="bg1">
                          <a:lumMod val="85000"/>
                        </a:schemeClr>
                      </a:solidFill>
                      <a:prstDash val="solid"/>
                      <a:miter lim="800000"/>
                      <a:headEnd/>
                      <a:tailEnd/>
                    </a:ln>
                    <a:effectLst/>
                  </pic:spPr>
                </pic:pic>
              </a:graphicData>
            </a:graphic>
          </wp:anchor>
        </w:drawing>
      </w:r>
      <w:r>
        <w:rPr>
          <w:rFonts w:hint="eastAsia" w:ascii="仿宋_GB2312" w:eastAsia="仿宋_GB2312"/>
          <w:b w:val="0"/>
          <w:bCs w:val="0"/>
          <w:sz w:val="32"/>
        </w:rPr>
        <w:t>图1：收入预算</w:t>
      </w:r>
    </w:p>
    <w:p>
      <w:pPr>
        <w:pStyle w:val="3"/>
        <w:jc w:val="center"/>
        <w:rPr>
          <w:color w:val="FF0000"/>
          <w:sz w:val="32"/>
          <w:szCs w:val="40"/>
          <w14:shadow w14:blurRad="50800" w14:dist="50800" w14:dir="5400000" w14:sx="2000" w14:sy="2000" w14:kx="0" w14:ky="0" w14:algn="ctr">
            <w14:schemeClr w14:val="tx1"/>
          </w14:shadow>
        </w:rPr>
      </w:pPr>
      <w:r>
        <w:rPr>
          <w:rFonts w:hint="eastAsia"/>
        </w:rPr>
        <w:t xml:space="preserve">   </w:t>
      </w:r>
    </w:p>
    <w:p>
      <w:pPr>
        <w:pStyle w:val="3"/>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pStyle w:val="3"/>
        <w:rPr>
          <w:rFonts w:ascii="黑体" w:eastAsia="黑体"/>
          <w:sz w:val="32"/>
          <w:szCs w:val="32"/>
        </w:rPr>
      </w:pPr>
    </w:p>
    <w:p>
      <w:pPr>
        <w:pStyle w:val="3"/>
        <w:rPr>
          <w:rFonts w:hint="eastAsia" w:ascii="黑体" w:eastAsia="黑体"/>
          <w:sz w:val="32"/>
          <w:szCs w:val="32"/>
          <w:lang w:eastAsia="zh-CN"/>
        </w:rPr>
      </w:pPr>
    </w:p>
    <w:p>
      <w:pPr>
        <w:pStyle w:val="3"/>
        <w:rPr>
          <w:rFonts w:hint="eastAsia" w:ascii="黑体" w:eastAsia="黑体"/>
          <w:sz w:val="32"/>
          <w:szCs w:val="32"/>
          <w:lang w:eastAsia="zh-CN"/>
        </w:rPr>
      </w:pPr>
    </w:p>
    <w:p>
      <w:pPr>
        <w:pStyle w:val="3"/>
        <w:ind w:firstLine="640" w:firstLineChars="200"/>
        <w:rPr>
          <w:rFonts w:ascii="黑体" w:eastAsia="黑体"/>
          <w:sz w:val="32"/>
          <w:szCs w:val="32"/>
        </w:rPr>
      </w:pPr>
      <w:bookmarkStart w:id="1" w:name="_GoBack"/>
      <w:bookmarkEnd w:id="1"/>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2023年支出预算2,167.49万元，比2022年年初预算数1,368.80万元增加798.69万元，增长58.35%。主要原因是根据工作安排，继续消化使用上年部分项目经费结转资金。</w:t>
      </w:r>
    </w:p>
    <w:p>
      <w:pPr>
        <w:spacing w:line="560" w:lineRule="exact"/>
        <w:ind w:firstLine="640"/>
        <w:rPr>
          <w:rFonts w:ascii="仿宋_GB2312" w:eastAsia="仿宋_GB2312"/>
          <w:color w:val="000000"/>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基本支出预算818.81万元，占总支出预算37.78%，比2022年年初预算数</w:t>
      </w:r>
      <w:r>
        <w:rPr>
          <w:rFonts w:hint="eastAsia" w:ascii="仿宋_GB2312" w:eastAsia="仿宋_GB2312"/>
          <w:color w:val="000000"/>
          <w:sz w:val="32"/>
          <w:szCs w:val="32"/>
        </w:rPr>
        <w:t>565.91</w:t>
      </w:r>
      <w:r>
        <w:rPr>
          <w:rFonts w:hint="eastAsia" w:ascii="仿宋_GB2312" w:eastAsia="仿宋_GB2312"/>
          <w:sz w:val="32"/>
          <w:szCs w:val="32"/>
        </w:rPr>
        <w:t>万元增加252.90万元，增长44.69%。</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项目支出预算1,348.68万元，比2022年年初预算数802.89万元增加545.79万元，增长67.98%。</w:t>
      </w:r>
    </w:p>
    <w:p>
      <w:pPr>
        <w:spacing w:line="560" w:lineRule="exact"/>
        <w:ind w:firstLine="640"/>
        <w:rPr>
          <w:rFonts w:ascii="仿宋_GB2312" w:eastAsia="仿宋_GB2312"/>
          <w:sz w:val="32"/>
          <w:szCs w:val="32"/>
        </w:rPr>
      </w:pPr>
      <w:r>
        <w:rPr>
          <w:rFonts w:hint="eastAsia" w:ascii="仿宋_GB2312" w:eastAsia="仿宋_GB2312"/>
          <w:sz w:val="32"/>
          <w:szCs w:val="32"/>
        </w:rPr>
        <w:t>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1.事业单位经营支出0.00万元。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2.上缴上级支出0.00万元。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3.对附属单位补助支出0.00万元。</w:t>
      </w:r>
    </w:p>
    <w:p>
      <w:pPr>
        <w:pStyle w:val="2"/>
        <w:ind w:firstLine="642"/>
        <w:jc w:val="center"/>
        <w:rPr>
          <w:rFonts w:ascii="仿宋_GB2312" w:eastAsia="仿宋_GB2312"/>
          <w:b w:val="0"/>
          <w:bCs w:val="0"/>
          <w:sz w:val="32"/>
        </w:rPr>
      </w:pPr>
      <w:r>
        <w:rPr>
          <w:b w:val="0"/>
          <w:bCs w:val="0"/>
        </w:rPr>
        <w:drawing>
          <wp:anchor distT="0" distB="0" distL="114300" distR="114300" simplePos="0" relativeHeight="251659264" behindDoc="0" locked="0" layoutInCell="1" allowOverlap="1">
            <wp:simplePos x="0" y="0"/>
            <wp:positionH relativeFrom="margin">
              <wp:posOffset>570230</wp:posOffset>
            </wp:positionH>
            <wp:positionV relativeFrom="paragraph">
              <wp:posOffset>642620</wp:posOffset>
            </wp:positionV>
            <wp:extent cx="4090035" cy="2585720"/>
            <wp:effectExtent l="12700" t="12700" r="21590" b="20955"/>
            <wp:wrapNone/>
            <wp:docPr id="7" name="图片 4"/>
            <wp:cNvGraphicFramePr/>
            <a:graphic xmlns:a="http://schemas.openxmlformats.org/drawingml/2006/main">
              <a:graphicData uri="http://schemas.openxmlformats.org/drawingml/2006/picture">
                <pic:pic xmlns:pic="http://schemas.openxmlformats.org/drawingml/2006/picture">
                  <pic:nvPicPr>
                    <pic:cNvPr id="7" name="图片 4"/>
                    <pic:cNvPicPr/>
                  </pic:nvPicPr>
                  <pic:blipFill>
                    <a:blip r:embed="rId6">
                      <a:extLst>
                        <a:ext uri="{28A0092B-C50C-407E-A947-70E740481C1C}">
                          <a14:useLocalDpi xmlns:a14="http://schemas.microsoft.com/office/drawing/2010/main" val="0"/>
                        </a:ext>
                      </a:extLst>
                    </a:blip>
                    <a:stretch>
                      <a:fillRect/>
                    </a:stretch>
                  </pic:blipFill>
                  <pic:spPr>
                    <a:xfrm>
                      <a:off x="0" y="0"/>
                      <a:ext cx="4090035" cy="2585720"/>
                    </a:xfrm>
                    <a:prstGeom prst="rect">
                      <a:avLst/>
                    </a:prstGeom>
                    <a:ln w="12700" cap="sq" cmpd="sng">
                      <a:solidFill>
                        <a:schemeClr val="bg1">
                          <a:lumMod val="85000"/>
                        </a:schemeClr>
                      </a:solidFill>
                      <a:prstDash val="solid"/>
                      <a:miter lim="800000"/>
                      <a:headEnd/>
                      <a:tailEnd/>
                    </a:ln>
                    <a:effectLst/>
                  </pic:spPr>
                </pic:pic>
              </a:graphicData>
            </a:graphic>
          </wp:anchor>
        </w:drawing>
      </w:r>
      <w:r>
        <w:rPr>
          <w:rFonts w:hint="eastAsia" w:ascii="仿宋_GB2312" w:eastAsia="仿宋_GB2312"/>
          <w:b w:val="0"/>
          <w:bCs w:val="0"/>
          <w:sz w:val="32"/>
        </w:rPr>
        <w:t>图2：基本支出和项目支出情况</w:t>
      </w:r>
    </w:p>
    <w:p/>
    <w:p>
      <w:pPr>
        <w:pStyle w:val="2"/>
        <w:rPr>
          <w:color w:val="000000" w:themeColor="text1"/>
          <w14:textFill>
            <w14:solidFill>
              <w14:schemeClr w14:val="tx1"/>
            </w14:solidFill>
          </w14:textFill>
        </w:rPr>
      </w:pPr>
    </w:p>
    <w:p/>
    <w:p>
      <w:pPr>
        <w:pStyle w:val="2"/>
      </w:pPr>
    </w:p>
    <w:p/>
    <w:p>
      <w:pPr>
        <w:ind w:firstLine="642"/>
        <w:jc w:val="center"/>
        <w:rPr>
          <w:rFonts w:ascii="仿宋_GB2312" w:eastAsia="仿宋_GB2312"/>
          <w:sz w:val="32"/>
        </w:rPr>
      </w:pPr>
    </w:p>
    <w:p>
      <w:pPr>
        <w:ind w:firstLine="1260" w:firstLineChars="600"/>
        <w:rPr>
          <w:color w:val="FF0000"/>
        </w:rPr>
      </w:pP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本单位2023年无财政拨款安排的“三公”经费预算。</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w:t>
      </w:r>
      <w:r>
        <w:rPr>
          <w:rFonts w:hint="eastAsia" w:ascii="仿宋_GB2312" w:eastAsia="仿宋_GB2312"/>
          <w:color w:val="000000"/>
          <w:sz w:val="32"/>
          <w:szCs w:val="32"/>
        </w:rPr>
        <w:t>中关村政府采购促进中心</w:t>
      </w:r>
      <w:r>
        <w:rPr>
          <w:rFonts w:hint="eastAsia" w:ascii="仿宋_GB2312" w:eastAsia="仿宋_GB2312"/>
          <w:sz w:val="32"/>
          <w:szCs w:val="32"/>
        </w:rPr>
        <w:t>政府采购预算总额905.01万元，其中：政府采购货物预算19.41万元，政府采购工程预算0.00万元，政府采购服务预算885.60万元。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本单位不属于政府购买服务购买主体。</w:t>
      </w:r>
    </w:p>
    <w:p>
      <w:pPr>
        <w:numPr>
          <w:ilvl w:val="0"/>
          <w:numId w:val="1"/>
        </w:numPr>
        <w:spacing w:line="560" w:lineRule="exact"/>
        <w:ind w:firstLine="640" w:firstLineChars="200"/>
        <w:rPr>
          <w:rFonts w:ascii="楷体_GB2312" w:eastAsia="楷体_GB2312"/>
          <w:sz w:val="32"/>
          <w:szCs w:val="32"/>
        </w:rPr>
      </w:pPr>
      <w:r>
        <w:rPr>
          <w:rFonts w:hint="eastAsia" w:ascii="楷体_GB2312" w:eastAsia="楷体_GB2312"/>
          <w:sz w:val="32"/>
          <w:szCs w:val="32"/>
        </w:rPr>
        <w:t>机关运行经费说明</w:t>
      </w:r>
    </w:p>
    <w:p>
      <w:pPr>
        <w:spacing w:line="560" w:lineRule="exact"/>
        <w:ind w:firstLine="640" w:firstLineChars="200"/>
        <w:rPr>
          <w:rFonts w:ascii="仿宋_GB2312" w:eastAsia="仿宋_GB2312"/>
          <w:color w:val="FF0000"/>
          <w:sz w:val="32"/>
          <w:szCs w:val="32"/>
        </w:rPr>
      </w:pPr>
      <w:r>
        <w:rPr>
          <w:rFonts w:hint="eastAsia" w:ascii="仿宋_GB2312" w:eastAsia="仿宋_GB2312"/>
          <w:sz w:val="32"/>
          <w:szCs w:val="32"/>
        </w:rPr>
        <w:t>本单位不在机关运行经费统计范围之内。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w:t>
      </w:r>
      <w:r>
        <w:rPr>
          <w:rFonts w:hint="eastAsia" w:ascii="仿宋_GB2312" w:eastAsia="仿宋_GB2312"/>
          <w:color w:val="000000"/>
          <w:sz w:val="32"/>
          <w:szCs w:val="32"/>
        </w:rPr>
        <w:t>中关村政府采购促进中心</w:t>
      </w:r>
      <w:r>
        <w:rPr>
          <w:rFonts w:hint="eastAsia" w:ascii="仿宋_GB2312" w:eastAsia="仿宋_GB2312"/>
          <w:sz w:val="32"/>
          <w:szCs w:val="32"/>
        </w:rPr>
        <w:t>填报绩效目标的预算项目5个，占本单位本年预算项目5个的100%。填报绩效目标的项目支出预算995.27万元，占本单位本年项目支出预算的100%。</w:t>
      </w:r>
    </w:p>
    <w:p>
      <w:pPr>
        <w:numPr>
          <w:ilvl w:val="0"/>
          <w:numId w:val="2"/>
        </w:numPr>
        <w:spacing w:line="560" w:lineRule="exact"/>
        <w:ind w:firstLine="640" w:firstLineChars="200"/>
        <w:rPr>
          <w:rFonts w:ascii="楷体_GB2312" w:eastAsia="楷体_GB2312"/>
          <w:sz w:val="32"/>
          <w:szCs w:val="32"/>
        </w:rPr>
      </w:pPr>
      <w:r>
        <w:rPr>
          <w:rFonts w:hint="eastAsia" w:ascii="楷体_GB2312" w:eastAsia="楷体_GB2312"/>
          <w:sz w:val="32"/>
          <w:szCs w:val="32"/>
        </w:rPr>
        <w:t>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hAnsi="仿宋_GB2312" w:eastAsia="仿宋_GB2312" w:cs="仿宋_GB2312"/>
          <w:sz w:val="32"/>
          <w:szCs w:val="40"/>
        </w:rPr>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年底，中关村政府采购促进中心共有车辆</w:t>
      </w:r>
      <w:r>
        <w:rPr>
          <w:rFonts w:ascii="仿宋_GB2312" w:eastAsia="仿宋_GB2312"/>
          <w:color w:val="000000"/>
          <w:sz w:val="32"/>
          <w:szCs w:val="32"/>
        </w:rPr>
        <w:t>0</w:t>
      </w:r>
      <w:r>
        <w:rPr>
          <w:rFonts w:hint="eastAsia" w:ascii="仿宋_GB2312" w:eastAsia="仿宋_GB2312"/>
          <w:color w:val="000000"/>
          <w:sz w:val="32"/>
          <w:szCs w:val="32"/>
        </w:rPr>
        <w:t>台，共计</w:t>
      </w:r>
      <w:r>
        <w:rPr>
          <w:rFonts w:ascii="仿宋_GB2312" w:eastAsia="仿宋_GB2312"/>
          <w:color w:val="000000"/>
          <w:sz w:val="32"/>
          <w:szCs w:val="32"/>
        </w:rPr>
        <w:t>0.00</w:t>
      </w:r>
      <w:r>
        <w:rPr>
          <w:rFonts w:hint="eastAsia" w:ascii="仿宋_GB2312" w:eastAsia="仿宋_GB2312"/>
          <w:color w:val="000000"/>
          <w:sz w:val="32"/>
          <w:szCs w:val="32"/>
        </w:rPr>
        <w:t>万元；单位价值50万元以上的通用设备</w:t>
      </w:r>
      <w:r>
        <w:rPr>
          <w:rFonts w:ascii="仿宋_GB2312" w:eastAsia="仿宋_GB2312"/>
          <w:color w:val="000000"/>
          <w:sz w:val="32"/>
          <w:szCs w:val="32"/>
        </w:rPr>
        <w:t>0</w:t>
      </w:r>
      <w:r>
        <w:rPr>
          <w:rFonts w:hint="eastAsia" w:ascii="仿宋_GB2312" w:eastAsia="仿宋_GB2312"/>
          <w:color w:val="000000"/>
          <w:sz w:val="32"/>
          <w:szCs w:val="32"/>
        </w:rPr>
        <w:t>台（套），共计0.00万元，单位价值100万元以上的专用设备0台（套）、共计0.00万元。</w:t>
      </w:r>
    </w:p>
    <w:p>
      <w:pPr>
        <w:numPr>
          <w:ilvl w:val="0"/>
          <w:numId w:val="3"/>
        </w:numPr>
        <w:spacing w:line="560" w:lineRule="exact"/>
        <w:ind w:firstLine="640" w:firstLineChars="200"/>
      </w:pP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
      <w:pPr>
        <w:widowControl/>
        <w:jc w:val="left"/>
        <w:rPr>
          <w:rFonts w:ascii="方正小标宋简体" w:eastAsia="方正小标宋简体"/>
          <w:color w:val="000000"/>
          <w:sz w:val="36"/>
          <w:szCs w:val="36"/>
        </w:rPr>
      </w:pPr>
    </w:p>
    <w:p>
      <w:pPr>
        <w:widowControl/>
        <w:jc w:val="left"/>
        <w:rPr>
          <w:rFonts w:ascii="方正小标宋简体" w:eastAsia="方正小标宋简体"/>
          <w:color w:val="000000"/>
          <w:sz w:val="36"/>
          <w:szCs w:val="36"/>
        </w:rPr>
      </w:pPr>
    </w:p>
    <w:p>
      <w:pPr>
        <w:widowControl/>
        <w:jc w:val="left"/>
        <w:rPr>
          <w:rFonts w:ascii="方正小标宋简体" w:eastAsia="方正小标宋简体"/>
          <w:color w:val="000000"/>
          <w:sz w:val="36"/>
          <w:szCs w:val="36"/>
        </w:rPr>
      </w:pPr>
    </w:p>
    <w:p>
      <w:pPr>
        <w:widowControl/>
        <w:jc w:val="left"/>
        <w:rPr>
          <w:rFonts w:ascii="方正小标宋简体" w:eastAsia="方正小标宋简体"/>
          <w:color w:val="000000"/>
          <w:sz w:val="36"/>
          <w:szCs w:val="36"/>
        </w:rPr>
      </w:pPr>
    </w:p>
    <w:p>
      <w:pPr>
        <w:pStyle w:val="2"/>
        <w:rPr>
          <w:rFonts w:ascii="方正小标宋简体" w:eastAsia="方正小标宋简体"/>
          <w:color w:val="000000"/>
          <w:sz w:val="36"/>
          <w:szCs w:val="36"/>
        </w:rPr>
      </w:pPr>
    </w:p>
    <w:p>
      <w:pPr>
        <w:rPr>
          <w:rFonts w:ascii="方正小标宋简体" w:eastAsia="方正小标宋简体"/>
          <w:color w:val="000000"/>
          <w:sz w:val="36"/>
          <w:szCs w:val="36"/>
        </w:rPr>
      </w:pPr>
    </w:p>
    <w:p>
      <w:pPr>
        <w:pStyle w:val="2"/>
        <w:rPr>
          <w:rFonts w:ascii="方正小标宋简体" w:eastAsia="方正小标宋简体"/>
          <w:color w:val="000000"/>
          <w:sz w:val="36"/>
          <w:szCs w:val="36"/>
        </w:rPr>
      </w:pPr>
    </w:p>
    <w:p>
      <w:pPr>
        <w:rPr>
          <w:rFonts w:ascii="方正小标宋简体" w:eastAsia="方正小标宋简体"/>
          <w:color w:val="000000"/>
          <w:sz w:val="36"/>
          <w:szCs w:val="36"/>
        </w:rPr>
      </w:pPr>
    </w:p>
    <w:p>
      <w:pPr>
        <w:pStyle w:val="2"/>
        <w:rPr>
          <w:rFonts w:ascii="方正小标宋简体" w:eastAsia="方正小标宋简体"/>
          <w:color w:val="000000"/>
          <w:sz w:val="36"/>
          <w:szCs w:val="36"/>
        </w:rPr>
      </w:pPr>
    </w:p>
    <w:p>
      <w:pPr>
        <w:rPr>
          <w:rFonts w:ascii="方正小标宋简体" w:eastAsia="方正小标宋简体"/>
          <w:color w:val="000000"/>
          <w:sz w:val="36"/>
          <w:szCs w:val="36"/>
        </w:rPr>
      </w:pPr>
    </w:p>
    <w:p>
      <w:pPr>
        <w:widowControl/>
        <w:ind w:firstLine="0" w:firstLineChars="0"/>
        <w:jc w:val="both"/>
        <w:rPr>
          <w:rFonts w:ascii="方正小标宋简体" w:eastAsia="方正小标宋简体"/>
          <w:color w:val="000000"/>
          <w:sz w:val="36"/>
          <w:szCs w:val="36"/>
        </w:rPr>
      </w:pPr>
    </w:p>
    <w:p>
      <w:pPr>
        <w:pStyle w:val="2"/>
      </w:pPr>
    </w:p>
    <w:p>
      <w:pPr>
        <w:widowControl/>
        <w:spacing w:line="240" w:lineRule="auto"/>
        <w:ind w:firstLine="0" w:firstLineChars="0"/>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rPr>
      </w:pPr>
      <w:r>
        <w:rPr>
          <w:rFonts w:hint="eastAsia" w:ascii="仿宋_GB2312" w:eastAsia="仿宋_GB2312"/>
          <w:color w:val="000000"/>
          <w:sz w:val="32"/>
          <w:szCs w:val="32"/>
        </w:rPr>
        <w:t>附件：中关村政府采购促进中心2023年度单位预算报表</w:t>
      </w:r>
      <w:r>
        <w:rPr>
          <w:rFonts w:hint="eastAsia" w:ascii="仿宋_GB2312" w:eastAsia="仿宋_GB2312" w:cs="宋体"/>
          <w:color w:val="000000"/>
          <w:kern w:val="0"/>
          <w:sz w:val="32"/>
          <w:szCs w:val="32"/>
          <w:lang w:val="zh-CN"/>
        </w:rPr>
        <w:t xml:space="preserve"> </w:t>
      </w:r>
    </w:p>
    <w:p>
      <w:pPr>
        <w:rPr>
          <w:rFonts w:ascii="仿宋_GB2312" w:eastAsia="仿宋_GB2312"/>
          <w:color w:val="000000"/>
          <w:sz w:val="32"/>
          <w:szCs w:val="32"/>
        </w:rPr>
      </w:pPr>
    </w:p>
    <w:p>
      <w:pPr>
        <w:keepNext/>
        <w:keepLines/>
        <w:spacing w:before="100" w:beforeAutospacing="1" w:after="100" w:afterAutospacing="1"/>
        <w:outlineLvl w:val="1"/>
      </w:pPr>
      <w:bookmarkStart w:id="0" w:name="chaosong"/>
      <w:bookmarkEnd w:id="0"/>
    </w:p>
    <w:sectPr>
      <w:footerReference r:id="rId3" w:type="default"/>
      <w:pgSz w:w="11906" w:h="16838"/>
      <w:pgMar w:top="1327" w:right="1800" w:bottom="1327"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60288;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84hJ9EAAAADAQAADwAAAAAAAAABACAAAAAiAAAAZHJz&#10;L2Rvd25yZXYueG1sUEsBAhQAFAAAAAgAh07iQC5LWKwLAgAAAgQAAA4AAAAAAAAAAQAgAAAAIAEA&#10;AGRycy9lMm9Eb2MueG1sUEsFBgAAAAAGAAYAWQEAAJ0FAAAAAA==&#10;">
              <v:fill on="f" focussize="0,0"/>
              <v:stroke on="f"/>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BC8C25"/>
    <w:multiLevelType w:val="singleLevel"/>
    <w:tmpl w:val="24BC8C25"/>
    <w:lvl w:ilvl="0" w:tentative="0">
      <w:start w:val="3"/>
      <w:numFmt w:val="chineseCounting"/>
      <w:suff w:val="nothing"/>
      <w:lvlText w:val="（%1）"/>
      <w:lvlJc w:val="left"/>
      <w:rPr>
        <w:rFonts w:hint="eastAsia"/>
      </w:rPr>
    </w:lvl>
  </w:abstractNum>
  <w:abstractNum w:abstractNumId="1">
    <w:nsid w:val="6551F72E"/>
    <w:multiLevelType w:val="singleLevel"/>
    <w:tmpl w:val="6551F72E"/>
    <w:lvl w:ilvl="0" w:tentative="0">
      <w:start w:val="6"/>
      <w:numFmt w:val="chineseCounting"/>
      <w:suff w:val="nothing"/>
      <w:lvlText w:val="%1、"/>
      <w:lvlJc w:val="left"/>
      <w:rPr>
        <w:rFonts w:hint="eastAsia" w:ascii="黑体" w:hAnsi="黑体" w:eastAsia="黑体" w:cs="黑体"/>
        <w:sz w:val="32"/>
        <w:szCs w:val="32"/>
      </w:rPr>
    </w:lvl>
  </w:abstractNum>
  <w:abstractNum w:abstractNumId="2">
    <w:nsid w:val="6E5B2E40"/>
    <w:multiLevelType w:val="singleLevel"/>
    <w:tmpl w:val="6E5B2E40"/>
    <w:lvl w:ilvl="0" w:tentative="0">
      <w:start w:val="5"/>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xZTlhZWY5YzcxZDcyMjNlNTA2YTA3MGU5NWIyMDYifQ=="/>
  </w:docVars>
  <w:rsids>
    <w:rsidRoot w:val="00DA3E64"/>
    <w:rsid w:val="00041FDB"/>
    <w:rsid w:val="000443A2"/>
    <w:rsid w:val="000603B6"/>
    <w:rsid w:val="000704D2"/>
    <w:rsid w:val="001F075F"/>
    <w:rsid w:val="002135C4"/>
    <w:rsid w:val="003465D0"/>
    <w:rsid w:val="004062C2"/>
    <w:rsid w:val="004230FC"/>
    <w:rsid w:val="00515039"/>
    <w:rsid w:val="0052038C"/>
    <w:rsid w:val="00763EDE"/>
    <w:rsid w:val="008605B8"/>
    <w:rsid w:val="00925A50"/>
    <w:rsid w:val="00964416"/>
    <w:rsid w:val="00974DE8"/>
    <w:rsid w:val="00990B48"/>
    <w:rsid w:val="009D6C86"/>
    <w:rsid w:val="00A839DF"/>
    <w:rsid w:val="00AA0B9A"/>
    <w:rsid w:val="00AF579B"/>
    <w:rsid w:val="00B94CD7"/>
    <w:rsid w:val="00BD2095"/>
    <w:rsid w:val="00BF4454"/>
    <w:rsid w:val="00C152CB"/>
    <w:rsid w:val="00C33033"/>
    <w:rsid w:val="00C87B53"/>
    <w:rsid w:val="00CF3B76"/>
    <w:rsid w:val="00D76B01"/>
    <w:rsid w:val="00DA3E64"/>
    <w:rsid w:val="00DC1C53"/>
    <w:rsid w:val="00E1617E"/>
    <w:rsid w:val="00EF1E11"/>
    <w:rsid w:val="00F528D5"/>
    <w:rsid w:val="00FE2E55"/>
    <w:rsid w:val="017A19A1"/>
    <w:rsid w:val="017C2CB3"/>
    <w:rsid w:val="01A00569"/>
    <w:rsid w:val="042A5AF7"/>
    <w:rsid w:val="04447FB3"/>
    <w:rsid w:val="05A76A4C"/>
    <w:rsid w:val="06EA15F1"/>
    <w:rsid w:val="07CD02C0"/>
    <w:rsid w:val="0B19782D"/>
    <w:rsid w:val="0C2C5114"/>
    <w:rsid w:val="0C7849F9"/>
    <w:rsid w:val="0D3A63F7"/>
    <w:rsid w:val="0E146C48"/>
    <w:rsid w:val="0FE3246F"/>
    <w:rsid w:val="10F36FE9"/>
    <w:rsid w:val="11DB4425"/>
    <w:rsid w:val="12394F83"/>
    <w:rsid w:val="127F3DD2"/>
    <w:rsid w:val="14144B0C"/>
    <w:rsid w:val="16EB30C7"/>
    <w:rsid w:val="16F629B9"/>
    <w:rsid w:val="17122D53"/>
    <w:rsid w:val="1731136C"/>
    <w:rsid w:val="18A81A53"/>
    <w:rsid w:val="19AF6DCC"/>
    <w:rsid w:val="1B8970FB"/>
    <w:rsid w:val="1BC25DF0"/>
    <w:rsid w:val="1E6C3F37"/>
    <w:rsid w:val="1EE52218"/>
    <w:rsid w:val="1F6E507C"/>
    <w:rsid w:val="2074045F"/>
    <w:rsid w:val="234D2B0B"/>
    <w:rsid w:val="24AC1FA5"/>
    <w:rsid w:val="27332718"/>
    <w:rsid w:val="27BE17EE"/>
    <w:rsid w:val="28DF395A"/>
    <w:rsid w:val="2907142C"/>
    <w:rsid w:val="29A97D58"/>
    <w:rsid w:val="2A252715"/>
    <w:rsid w:val="2A3654DB"/>
    <w:rsid w:val="2A4C2E6E"/>
    <w:rsid w:val="2A685C74"/>
    <w:rsid w:val="2B024961"/>
    <w:rsid w:val="2BD27A1E"/>
    <w:rsid w:val="2C1D0F66"/>
    <w:rsid w:val="2C3C763E"/>
    <w:rsid w:val="2FD86E9B"/>
    <w:rsid w:val="307153DD"/>
    <w:rsid w:val="31401FA3"/>
    <w:rsid w:val="33994A92"/>
    <w:rsid w:val="359A371F"/>
    <w:rsid w:val="36154711"/>
    <w:rsid w:val="362A5FAB"/>
    <w:rsid w:val="36CA5C2C"/>
    <w:rsid w:val="37582A72"/>
    <w:rsid w:val="38F14FD9"/>
    <w:rsid w:val="3A615118"/>
    <w:rsid w:val="3AF818B3"/>
    <w:rsid w:val="3B750EE5"/>
    <w:rsid w:val="3C587DD4"/>
    <w:rsid w:val="3F3B204F"/>
    <w:rsid w:val="413F51C1"/>
    <w:rsid w:val="429A7006"/>
    <w:rsid w:val="42FB6058"/>
    <w:rsid w:val="43364990"/>
    <w:rsid w:val="478D08F6"/>
    <w:rsid w:val="49077CB8"/>
    <w:rsid w:val="498D4675"/>
    <w:rsid w:val="4C740363"/>
    <w:rsid w:val="4DA66A4D"/>
    <w:rsid w:val="4E367CEF"/>
    <w:rsid w:val="4EE01C53"/>
    <w:rsid w:val="4F24642B"/>
    <w:rsid w:val="4F383E2F"/>
    <w:rsid w:val="504340CD"/>
    <w:rsid w:val="50FB7F6E"/>
    <w:rsid w:val="5209265C"/>
    <w:rsid w:val="53793EB9"/>
    <w:rsid w:val="55926977"/>
    <w:rsid w:val="57BD5228"/>
    <w:rsid w:val="583D1DD1"/>
    <w:rsid w:val="58971F5B"/>
    <w:rsid w:val="59B92E21"/>
    <w:rsid w:val="5A162CF0"/>
    <w:rsid w:val="5A752689"/>
    <w:rsid w:val="5AD74C21"/>
    <w:rsid w:val="5BE81245"/>
    <w:rsid w:val="5E03083C"/>
    <w:rsid w:val="5E224753"/>
    <w:rsid w:val="5F07071D"/>
    <w:rsid w:val="60E66B0E"/>
    <w:rsid w:val="61611A47"/>
    <w:rsid w:val="61EA10F7"/>
    <w:rsid w:val="62422353"/>
    <w:rsid w:val="626834FC"/>
    <w:rsid w:val="637235DB"/>
    <w:rsid w:val="63BC79DF"/>
    <w:rsid w:val="644C132A"/>
    <w:rsid w:val="65406257"/>
    <w:rsid w:val="66AF572C"/>
    <w:rsid w:val="67546BF3"/>
    <w:rsid w:val="68B90674"/>
    <w:rsid w:val="69004F74"/>
    <w:rsid w:val="6EA4028C"/>
    <w:rsid w:val="6EBE4E71"/>
    <w:rsid w:val="6EE90C45"/>
    <w:rsid w:val="6F50511D"/>
    <w:rsid w:val="7007308C"/>
    <w:rsid w:val="704C58E9"/>
    <w:rsid w:val="70EF1F9B"/>
    <w:rsid w:val="718B3E8F"/>
    <w:rsid w:val="71DF072F"/>
    <w:rsid w:val="72D93BA9"/>
    <w:rsid w:val="72FB2E21"/>
    <w:rsid w:val="75112A0C"/>
    <w:rsid w:val="78A74CC3"/>
    <w:rsid w:val="7977708E"/>
    <w:rsid w:val="79FB72EC"/>
    <w:rsid w:val="7D0B0AC6"/>
    <w:rsid w:val="7E183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2"/>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unhideWhenUsed/>
    <w:qFormat/>
    <w:uiPriority w:val="99"/>
    <w:pPr>
      <w:jc w:val="left"/>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标题 2 字符"/>
    <w:basedOn w:val="8"/>
    <w:link w:val="2"/>
    <w:qFormat/>
    <w:uiPriority w:val="0"/>
    <w:rPr>
      <w:rFonts w:ascii="Cambria" w:hAnsi="Cambria" w:eastAsia="黑体" w:cs="Times New Roman"/>
      <w:b/>
      <w:bCs/>
      <w:kern w:val="0"/>
      <w:sz w:val="36"/>
      <w:szCs w:val="32"/>
    </w:rPr>
  </w:style>
  <w:style w:type="paragraph" w:customStyle="1" w:styleId="13">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4">
    <w:name w:val="批注文字 字符"/>
    <w:basedOn w:val="8"/>
    <w:link w:val="3"/>
    <w:qFormat/>
    <w:uiPriority w:val="99"/>
    <w:rPr>
      <w:rFonts w:ascii="Times New Roman" w:hAnsi="Times New Roman" w:eastAsia="宋体" w:cs="Droid Sans"/>
      <w:szCs w:val="24"/>
    </w:rPr>
  </w:style>
  <w:style w:type="character" w:customStyle="1" w:styleId="15">
    <w:name w:val="批注主题 字符"/>
    <w:basedOn w:val="14"/>
    <w:link w:val="6"/>
    <w:semiHidden/>
    <w:qFormat/>
    <w:uiPriority w:val="99"/>
    <w:rPr>
      <w:rFonts w:ascii="Times New Roman" w:hAnsi="Times New Roman" w:eastAsia="宋体" w:cs="Droid Sans"/>
      <w:b/>
      <w:bCs/>
      <w:szCs w:val="24"/>
    </w:rPr>
  </w:style>
  <w:style w:type="paragraph" w:customStyle="1" w:styleId="16">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7">
    <w:name w:val="cf01"/>
    <w:basedOn w:val="8"/>
    <w:qFormat/>
    <w:uiPriority w:val="0"/>
    <w:rPr>
      <w:rFonts w:hint="eastAsia" w:ascii="Microsoft YaHei UI" w:hAnsi="Microsoft YaHei UI" w:eastAsia="Microsoft YaHei UI"/>
      <w:sz w:val="18"/>
      <w:szCs w:val="18"/>
    </w:rPr>
  </w:style>
  <w:style w:type="paragraph" w:customStyle="1" w:styleId="18">
    <w:name w:val="修订2"/>
    <w:hidden/>
    <w:semiHidden/>
    <w:qFormat/>
    <w:uiPriority w:val="99"/>
    <w:rPr>
      <w:rFonts w:ascii="Times New Roman" w:hAnsi="Times New Roman" w:eastAsia="宋体" w:cs="Droid Sans"/>
      <w:kern w:val="2"/>
      <w:sz w:val="21"/>
      <w:szCs w:val="24"/>
      <w:lang w:val="en-US" w:eastAsia="zh-CN" w:bidi="ar-SA"/>
    </w:rPr>
  </w:style>
  <w:style w:type="paragraph" w:customStyle="1" w:styleId="19">
    <w:name w:val="修订3"/>
    <w:hidden/>
    <w:semiHidden/>
    <w:qFormat/>
    <w:uiPriority w:val="99"/>
    <w:rPr>
      <w:rFonts w:ascii="Times New Roman" w:hAnsi="Times New Roman" w:eastAsia="宋体" w:cs="Droid Sans"/>
      <w:kern w:val="2"/>
      <w:sz w:val="21"/>
      <w:szCs w:val="24"/>
      <w:lang w:val="en-US" w:eastAsia="zh-CN" w:bidi="ar-SA"/>
    </w:rPr>
  </w:style>
  <w:style w:type="paragraph" w:customStyle="1" w:styleId="20">
    <w:name w:val="修订4"/>
    <w:hidden/>
    <w:semiHidden/>
    <w:uiPriority w:val="99"/>
    <w:rPr>
      <w:rFonts w:ascii="Times New Roman" w:hAnsi="Times New Roman" w:eastAsia="宋体" w:cs="Droid Sans"/>
      <w:kern w:val="2"/>
      <w:sz w:val="21"/>
      <w:szCs w:val="24"/>
      <w:lang w:val="en-US" w:eastAsia="zh-CN" w:bidi="ar-SA"/>
    </w:rPr>
  </w:style>
  <w:style w:type="paragraph" w:customStyle="1" w:styleId="21">
    <w:name w:val="Revision"/>
    <w:hidden/>
    <w:semiHidden/>
    <w:qFormat/>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2C820C-FA99-4654-96F6-FD812A43DD38}">
  <ds:schemaRefs/>
</ds:datastoreItem>
</file>

<file path=docProps/app.xml><?xml version="1.0" encoding="utf-8"?>
<Properties xmlns="http://schemas.openxmlformats.org/officeDocument/2006/extended-properties" xmlns:vt="http://schemas.openxmlformats.org/officeDocument/2006/docPropsVTypes">
  <Template>Normal</Template>
  <Pages>6</Pages>
  <Words>1767</Words>
  <Characters>2046</Characters>
  <Lines>14</Lines>
  <Paragraphs>4</Paragraphs>
  <TotalTime>2</TotalTime>
  <ScaleCrop>false</ScaleCrop>
  <LinksUpToDate>false</LinksUpToDate>
  <CharactersWithSpaces>2076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2023-02-21T03:31:00Z</dcterms:created>
  <dc:creator>马 亚文</dc:creator>
  <cp:lastModifiedBy>leo-yao</cp:lastModifiedBy>
  <cp:lastPrinted>2023-02-20T07:52:00Z</cp:lastPrinted>
  <dcterms:modified xsi:type="dcterms:W3CDTF">2023-02-23T02:39:39Z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38539BC381E346DC91E766A7C325308E</vt:lpwstr>
  </property>
</Properties>
</file>