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北京科技人才发展中心（北京海外学人中心中关村分中心）2023年财政预算信息公开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pStyle w:val="3"/>
        <w:spacing w:line="560" w:lineRule="exact"/>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根据中共北京市委机构编制委员会《关于市科委、中关村管委会所属事业单位改革有关事项的批复》（京编委</w:t>
      </w:r>
      <w:r>
        <w:rPr>
          <w:rFonts w:ascii="仿宋_GB2312" w:eastAsia="仿宋_GB2312"/>
          <w:sz w:val="32"/>
          <w:szCs w:val="32"/>
        </w:rPr>
        <w:t>[2021]66</w:t>
      </w:r>
      <w:r>
        <w:rPr>
          <w:rFonts w:hint="eastAsia" w:ascii="仿宋_GB2312" w:eastAsia="仿宋_GB2312"/>
          <w:sz w:val="32"/>
          <w:szCs w:val="32"/>
        </w:rPr>
        <w:t>号）文件，设立北京科技人才发展中心（北京海外学人中心中关村分中心）。主要职责：承担科技人才发展相关规划、政策研究等事务性工作，承担科技人才引进、培养、服务、中关村人才特区建设以及有关外国专家、港澳台专家管理服务等事务性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北京科技人才发展中心（北京海外学人中心中关村分中心）</w:t>
      </w:r>
      <w:r>
        <w:rPr>
          <w:rFonts w:hint="eastAsia" w:ascii="仿宋_GB2312" w:hAnsi="仿宋" w:eastAsia="仿宋_GB2312"/>
          <w:sz w:val="32"/>
          <w:szCs w:val="32"/>
        </w:rPr>
        <w:t>下设7</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hint="eastAsia" w:ascii="仿宋_GB2312" w:hAnsi="仿宋" w:eastAsia="仿宋_GB2312"/>
          <w:sz w:val="32"/>
          <w:szCs w:val="32"/>
        </w:rPr>
        <w:t>综合管理部、科技人才评价一部、科技人才评价二部、科技人才信息部、科技人才服务部、外专服务部和人事服务部。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ind w:firstLine="640" w:firstLineChars="200"/>
        <w:rPr>
          <w:rFonts w:ascii="仿宋_GB2312" w:eastAsia="仿宋_GB2312"/>
          <w:sz w:val="32"/>
          <w:szCs w:val="32"/>
        </w:rPr>
      </w:pPr>
      <w:r>
        <w:rPr>
          <w:rFonts w:hint="eastAsia" w:ascii="仿宋_GB2312" w:eastAsia="仿宋_GB2312"/>
          <w:sz w:val="32"/>
          <w:szCs w:val="32"/>
        </w:rPr>
        <w:t>北京科技人才发展中心（北京海外学人中心中关村分中心）事业编制40人，</w:t>
      </w:r>
      <w:r>
        <w:rPr>
          <w:rFonts w:hint="eastAsia" w:ascii="仿宋_GB2312" w:eastAsia="仿宋_GB2312"/>
          <w:color w:val="000000"/>
          <w:sz w:val="32"/>
          <w:szCs w:val="32"/>
        </w:rPr>
        <w:t>实有人数</w:t>
      </w:r>
      <w:r>
        <w:rPr>
          <w:rFonts w:hint="eastAsia" w:ascii="仿宋_GB2312" w:eastAsia="仿宋_GB2312"/>
          <w:sz w:val="32"/>
          <w:szCs w:val="32"/>
        </w:rPr>
        <w:t>32人。离退休人员4人，其中：离休0人，退休4人。</w:t>
      </w:r>
    </w:p>
    <w:p>
      <w:pPr>
        <w:spacing w:line="560" w:lineRule="exact"/>
        <w:ind w:firstLine="640" w:firstLineChars="200"/>
        <w:rPr>
          <w:rFonts w:ascii="仿宋_GB2312" w:eastAsia="仿宋_GB2312"/>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hAnsi="仿宋_GB2312" w:eastAsia="仿宋_GB2312" w:cs="仿宋_GB2312"/>
          <w:sz w:val="32"/>
        </w:rPr>
      </w:pPr>
      <w:r>
        <w:rPr>
          <w:rFonts w:hint="eastAsia" w:ascii="仿宋_GB2312" w:eastAsia="仿宋_GB2312"/>
          <w:sz w:val="32"/>
          <w:szCs w:val="32"/>
        </w:rPr>
        <w:t>2023年收入预算2,140.25万元，比2022年年初预算数0.00万元增加2,140.25万元，增长100%。主要原因是事业单位改革后，我单位新纳入2023年部门预算编报范围。</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（一）本年财政拨款收入1,782.21万元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1.一般公共预算拨款收入1,782.21万元。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（三）上年结转结余358.04</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10.上年结转结余358.04万元。</w:t>
      </w:r>
    </w:p>
    <w:p>
      <w:pPr>
        <w:pStyle w:val="2"/>
        <w:jc w:val="center"/>
        <w:rPr>
          <w:rFonts w:ascii="仿宋_GB2312" w:eastAsia="仿宋_GB2312"/>
          <w:sz w:val="32"/>
        </w:rPr>
      </w:pPr>
      <w:r>
        <w:rPr>
          <w:rFonts w:hint="eastAsia" w:ascii="仿宋_GB2312" w:eastAsia="仿宋_GB2312"/>
          <w:sz w:val="32"/>
        </w:rPr>
        <w:t>图1：收入预算</w:t>
      </w:r>
    </w:p>
    <w:p>
      <w:pPr>
        <w:pStyle w:val="3"/>
        <w:jc w:val="center"/>
        <w:rPr>
          <w:color w:val="FF0000"/>
          <w:sz w:val="32"/>
          <w:szCs w:val="40"/>
        </w:rPr>
      </w:pPr>
      <w:r>
        <w:rPr>
          <w:sz w:val="32"/>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374650</wp:posOffset>
                </wp:positionV>
                <wp:extent cx="1468755" cy="349885"/>
                <wp:effectExtent l="0" t="0" r="7620" b="2540"/>
                <wp:wrapNone/>
                <wp:docPr id="4" name="文本框 4"/>
                <wp:cNvGraphicFramePr/>
                <a:graphic xmlns:a="http://schemas.openxmlformats.org/drawingml/2006/main">
                  <a:graphicData uri="http://schemas.microsoft.com/office/word/2010/wordprocessingShape">
                    <wps:wsp>
                      <wps:cNvSpPr txBox="1"/>
                      <wps:spPr>
                        <a:xfrm>
                          <a:off x="3015615" y="1791335"/>
                          <a:ext cx="1468755" cy="3498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宋体"/>
                                <w:color w:val="auto"/>
                                <w:lang w:val="en-US" w:eastAsia="zh-CN"/>
                              </w:rPr>
                            </w:pPr>
                            <w:r>
                              <w:rPr>
                                <w:rFonts w:hint="eastAsia"/>
                                <w:color w:val="auto"/>
                                <w:lang w:val="en-US" w:eastAsia="zh-CN"/>
                              </w:rPr>
                              <w:t>收入预算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7.45pt;margin-top:29.5pt;height:27.55pt;width:115.65pt;z-index:251659264;mso-width-relative:page;mso-height-relative:page;" fillcolor="#FFFFFF [3201]" filled="t" stroked="f" coordsize="21600,21600" o:gfxdata="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JwxH&#10;cdUAAAAKAQAADwAAAAAAAAABACAAAAAiAAAAZHJzL2Rvd25yZXYueG1sUEsBAhQAFAAAAAgAh07i&#10;QNkgO/NeAgAAmwQAAA4AAAAAAAAAAQAgAAAAJAEAAGRycy9lMm9Eb2MueG1sUEsFBgAAAAAGAAYA&#10;WQEAAPQFAAAAAA==&#10;">
                <v:fill on="t" focussize="0,0"/>
                <v:stroke on="f" weight="0.5pt"/>
                <v:imagedata o:title=""/>
                <o:lock v:ext="edit" aspectratio="f"/>
                <v:textbox>
                  <w:txbxContent>
                    <w:p>
                      <w:pPr>
                        <w:jc w:val="center"/>
                        <w:rPr>
                          <w:rFonts w:hint="default" w:eastAsia="宋体"/>
                          <w:color w:val="auto"/>
                          <w:lang w:val="en-US" w:eastAsia="zh-CN"/>
                        </w:rPr>
                      </w:pPr>
                      <w:r>
                        <w:rPr>
                          <w:rFonts w:hint="eastAsia"/>
                          <w:color w:val="auto"/>
                          <w:lang w:val="en-US" w:eastAsia="zh-CN"/>
                        </w:rPr>
                        <w:t>收入预算</w:t>
                      </w:r>
                    </w:p>
                  </w:txbxContent>
                </v:textbox>
              </v:shape>
            </w:pict>
          </mc:Fallback>
        </mc:AlternateContent>
      </w:r>
      <w:r>
        <w:rPr>
          <w:rFonts w:hint="eastAsia"/>
          <w:color w:val="FF0000"/>
          <w:sz w:val="32"/>
          <w:szCs w:val="40"/>
        </w:rPr>
        <w:drawing>
          <wp:inline distT="0" distB="0" distL="114300" distR="114300">
            <wp:extent cx="5080000" cy="3810000"/>
            <wp:effectExtent l="0" t="0" r="6350" b="0"/>
            <wp:docPr id="1" name="图表 1" descr="7b0a202020202263686172745265734964223a202232303437303930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jc w:val="center"/>
      </w:pP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ind w:firstLine="640" w:firstLineChars="200"/>
        <w:rPr>
          <w:rFonts w:ascii="仿宋_GB2312" w:eastAsia="仿宋_GB2312"/>
          <w:sz w:val="32"/>
          <w:szCs w:val="32"/>
        </w:rPr>
      </w:pPr>
      <w:r>
        <w:rPr>
          <w:rFonts w:hint="eastAsia" w:ascii="仿宋_GB2312" w:eastAsia="仿宋_GB2312"/>
          <w:sz w:val="32"/>
          <w:szCs w:val="32"/>
        </w:rPr>
        <w:t>2023年支出预算2</w:t>
      </w:r>
      <w:r>
        <w:rPr>
          <w:rFonts w:ascii="仿宋_GB2312" w:eastAsia="仿宋_GB2312"/>
          <w:sz w:val="32"/>
          <w:szCs w:val="32"/>
        </w:rPr>
        <w:t>,</w:t>
      </w:r>
      <w:r>
        <w:rPr>
          <w:rFonts w:hint="eastAsia" w:ascii="仿宋_GB2312" w:eastAsia="仿宋_GB2312"/>
          <w:sz w:val="32"/>
          <w:szCs w:val="32"/>
        </w:rPr>
        <w:t>140.25万元，比2022年年初预算数0.00万元增加2,140.25万元，增长100</w:t>
      </w:r>
      <w:r>
        <w:rPr>
          <w:rFonts w:ascii="仿宋_GB2312" w:eastAsia="仿宋_GB2312"/>
          <w:sz w:val="32"/>
          <w:szCs w:val="32"/>
        </w:rPr>
        <w:t>%</w:t>
      </w:r>
      <w:r>
        <w:rPr>
          <w:rFonts w:hint="eastAsia" w:ascii="仿宋_GB2312" w:eastAsia="仿宋_GB2312"/>
          <w:sz w:val="32"/>
          <w:szCs w:val="32"/>
        </w:rPr>
        <w:t>。主要原因是事业单位改革后，我单位新纳入2023年部门预算编报范围。</w:t>
      </w:r>
    </w:p>
    <w:p>
      <w:pPr>
        <w:ind w:firstLine="640" w:firstLineChars="200"/>
        <w:rPr>
          <w:rFonts w:ascii="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基本支出预算1,215.40万元，占总支出预算56.79%，比2022年年初预算数0.00万元增加1,215.40万元，增长100</w:t>
      </w:r>
      <w:r>
        <w:rPr>
          <w:rFonts w:ascii="仿宋_GB2312" w:eastAsia="仿宋_GB2312"/>
          <w:sz w:val="32"/>
          <w:szCs w:val="32"/>
        </w:rPr>
        <w:t>%</w:t>
      </w:r>
      <w:r>
        <w:rPr>
          <w:rStyle w:val="9"/>
          <w:rFonts w:hint="eastAsia"/>
        </w:rPr>
        <w:t>。</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项目支出预算9</w:t>
      </w:r>
      <w:r>
        <w:rPr>
          <w:rFonts w:ascii="仿宋_GB2312" w:eastAsia="仿宋_GB2312"/>
          <w:sz w:val="32"/>
          <w:szCs w:val="32"/>
        </w:rPr>
        <w:t>24.85</w:t>
      </w:r>
      <w:r>
        <w:rPr>
          <w:rFonts w:hint="eastAsia" w:ascii="仿宋_GB2312" w:eastAsia="仿宋_GB2312"/>
          <w:sz w:val="32"/>
          <w:szCs w:val="32"/>
        </w:rPr>
        <w:t>万元，比2022年年初预算数0.00万元增加924.85万元，增长100</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spacing w:line="560" w:lineRule="exact"/>
        <w:ind w:firstLine="640"/>
        <w:rPr>
          <w:rFonts w:ascii="仿宋_GB2312" w:eastAsia="仿宋_GB2312"/>
          <w:sz w:val="32"/>
          <w:szCs w:val="32"/>
        </w:rPr>
      </w:pPr>
      <w:bookmarkStart w:id="1" w:name="_GoBack"/>
      <w:bookmarkEnd w:id="1"/>
    </w:p>
    <w:p>
      <w:pPr>
        <w:pStyle w:val="2"/>
        <w:ind w:firstLine="642"/>
        <w:jc w:val="center"/>
        <w:rPr>
          <w:rFonts w:ascii="仿宋_GB2312" w:eastAsia="仿宋_GB2312"/>
          <w:sz w:val="32"/>
        </w:rPr>
      </w:pPr>
      <w:r>
        <w:rPr>
          <w:rFonts w:hint="eastAsia" w:ascii="仿宋_GB2312" w:eastAsia="仿宋_GB2312"/>
          <w:sz w:val="32"/>
        </w:rPr>
        <w:t>图2：基本支出和项目支出情况</w:t>
      </w:r>
    </w:p>
    <w:p/>
    <w:p>
      <w:pPr>
        <w:pStyle w:val="2"/>
        <w:jc w:val="center"/>
      </w:pPr>
      <w:r>
        <w:rPr>
          <w:rFonts w:hint="eastAsia"/>
          <w:color w:val="FF0000"/>
          <w:sz w:val="32"/>
          <w:szCs w:val="40"/>
        </w:rPr>
        <w:drawing>
          <wp:inline distT="0" distB="0" distL="114300" distR="114300">
            <wp:extent cx="5080000" cy="3810000"/>
            <wp:effectExtent l="4445" t="4445" r="20955" b="52705"/>
            <wp:docPr id="2" name="图表 2" descr="7b0a202020202263686172745265734964223a202232303437303930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北京科技人才发展中心（北京海外学人中心中关村分中心）因公出国（境）费用、公务接待费、公务用车购置和运行维护费开支单位包括1个所属单位。</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2023年财政拨款“三公”经费预算23.40万元，比2022年财政拨款“三公”经费预算增加23.40万元。其中：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1.因公出国（境）费用。2023年预算数0.00万元，与2022年年初预算数持平。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2.公务接待费。2023年预算数0.42万元，比2022年年初预算数0.00万元增加0.42万元，主要原因：事业单位改革后，我单位新纳入2023年部门预算编报范围。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3.公务用车购置和运行维护费。2023年预算数22.98万元，其中，公务用车购置费2023年预算数17.98万元，比2022年年初预算数0.00万元增加17.98万元，主要原因：</w:t>
      </w:r>
      <w:r>
        <w:rPr>
          <w:rFonts w:hint="eastAsia" w:ascii="仿宋_GB2312" w:eastAsia="仿宋_GB2312"/>
          <w:color w:val="000000"/>
          <w:sz w:val="32"/>
          <w:szCs w:val="32"/>
        </w:rPr>
        <w:t>根据工作需要和资产管理相关规定，对符合更新条件的公务车申请更新。</w:t>
      </w:r>
      <w:r>
        <w:rPr>
          <w:rFonts w:hint="eastAsia" w:ascii="仿宋_GB2312" w:eastAsia="仿宋_GB2312"/>
          <w:sz w:val="32"/>
          <w:szCs w:val="32"/>
        </w:rPr>
        <w:t>公务用车运行维护费2023年预算数5.0</w:t>
      </w:r>
      <w:r>
        <w:rPr>
          <w:rFonts w:ascii="仿宋_GB2312" w:eastAsia="仿宋_GB2312"/>
          <w:sz w:val="32"/>
          <w:szCs w:val="32"/>
        </w:rPr>
        <w:t>0</w:t>
      </w:r>
      <w:r>
        <w:rPr>
          <w:rFonts w:hint="eastAsia" w:ascii="仿宋_GB2312" w:eastAsia="仿宋_GB2312"/>
          <w:sz w:val="32"/>
          <w:szCs w:val="32"/>
        </w:rPr>
        <w:t>万元，其中：公务用车加油2.65万元，公务用车维修0.85万元，公务用车保险0.85万元，其他0.65万元。公务用车运行维护费2</w:t>
      </w:r>
      <w:r>
        <w:rPr>
          <w:rFonts w:ascii="仿宋_GB2312" w:eastAsia="仿宋_GB2312"/>
          <w:sz w:val="32"/>
          <w:szCs w:val="32"/>
        </w:rPr>
        <w:t>023</w:t>
      </w:r>
      <w:r>
        <w:rPr>
          <w:rFonts w:hint="eastAsia" w:ascii="仿宋_GB2312" w:eastAsia="仿宋_GB2312"/>
          <w:sz w:val="32"/>
          <w:szCs w:val="32"/>
        </w:rPr>
        <w:t>年预算数比2022年年初预算数0.00万元增加5</w:t>
      </w:r>
      <w:r>
        <w:rPr>
          <w:rFonts w:ascii="仿宋_GB2312" w:eastAsia="仿宋_GB2312"/>
          <w:sz w:val="32"/>
          <w:szCs w:val="32"/>
        </w:rPr>
        <w:t>.00</w:t>
      </w:r>
      <w:r>
        <w:rPr>
          <w:rFonts w:hint="eastAsia" w:ascii="仿宋_GB2312" w:eastAsia="仿宋_GB2312"/>
          <w:sz w:val="32"/>
          <w:szCs w:val="32"/>
        </w:rPr>
        <w:t>万元，主要原因：事业单位改革后，我单位新纳入2023年部门预算编报范围。</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2023年北京科技人才发展中心（北京海外学人中心中关村分中心）政府采购预算总额113.09万元，其中：政府采购货物预算17.98万元，政府采购工程预算0.00万元，政府采购服务预算95.11万元。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ascii="仿宋_GB2312" w:eastAsia="仿宋_GB2312"/>
          <w:sz w:val="32"/>
          <w:szCs w:val="32"/>
        </w:rPr>
        <w:t>本单位不属于政府购买服务购买主体</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color w:val="FF0000"/>
          <w:sz w:val="32"/>
          <w:szCs w:val="32"/>
        </w:rPr>
      </w:pPr>
      <w:r>
        <w:rPr>
          <w:rFonts w:hint="eastAsia" w:ascii="仿宋_GB2312" w:eastAsia="仿宋_GB2312"/>
          <w:sz w:val="32"/>
          <w:szCs w:val="32"/>
        </w:rPr>
        <w:t>本</w:t>
      </w:r>
      <w:r>
        <w:rPr>
          <w:rFonts w:ascii="仿宋_GB2312" w:eastAsia="仿宋_GB2312"/>
          <w:sz w:val="32"/>
          <w:szCs w:val="32"/>
        </w:rPr>
        <w:t>单位不在机关运行经费统计范围之内</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2023年，北京科技人才发展中心（北京海外学人中心中关村分中心）填报绩效目标的预算项目3个，占本单位本年预算项目3个的100%。填报绩效目标的项目支出预算566.81万元，占本单位本年项目支出预算的100%。</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w:t>
      </w:r>
      <w:r>
        <w:rPr>
          <w:rFonts w:hint="eastAsia" w:ascii="仿宋_GB2312" w:eastAsia="仿宋_GB2312"/>
          <w:sz w:val="32"/>
          <w:szCs w:val="32"/>
        </w:rPr>
        <w:t>北京科技人才发展中心（北京海外学人中心中关村分中心）</w:t>
      </w:r>
      <w:r>
        <w:rPr>
          <w:rFonts w:hint="eastAsia" w:ascii="仿宋_GB2312" w:eastAsia="仿宋_GB2312"/>
          <w:color w:val="000000"/>
          <w:sz w:val="32"/>
          <w:szCs w:val="32"/>
        </w:rPr>
        <w:t>共有车辆</w:t>
      </w:r>
      <w:r>
        <w:rPr>
          <w:rFonts w:ascii="仿宋_GB2312" w:eastAsia="仿宋_GB2312"/>
          <w:color w:val="000000"/>
          <w:sz w:val="32"/>
          <w:szCs w:val="32"/>
        </w:rPr>
        <w:t>2</w:t>
      </w:r>
      <w:r>
        <w:rPr>
          <w:rFonts w:hint="eastAsia" w:ascii="仿宋_GB2312" w:eastAsia="仿宋_GB2312"/>
          <w:color w:val="000000"/>
          <w:sz w:val="32"/>
          <w:szCs w:val="32"/>
        </w:rPr>
        <w:t>台，共计40.51万元；单位价值50万元以上的通用设备0台（套），共计0.00万元，单位价值100万元以上的专用设备0台（套）、共计0.00万元。</w:t>
      </w:r>
    </w:p>
    <w:p>
      <w:pPr>
        <w:pStyle w:val="3"/>
        <w:spacing w:line="560" w:lineRule="exact"/>
        <w:ind w:firstLine="420" w:firstLineChars="200"/>
      </w:pPr>
    </w:p>
    <w:p>
      <w:pPr>
        <w:spacing w:line="560" w:lineRule="exact"/>
        <w:ind w:firstLine="640" w:firstLineChars="200"/>
        <w:rPr>
          <w:rFonts w:ascii="仿宋_GB2312" w:eastAsia="仿宋_GB2312"/>
          <w:color w:val="FF0000"/>
          <w:sz w:val="32"/>
          <w:szCs w:val="32"/>
        </w:rPr>
      </w:pPr>
      <w:r>
        <w:rPr>
          <w:rFonts w:hint="eastAsia" w:ascii="黑体" w:eastAsia="黑体"/>
          <w:color w:val="000000"/>
          <w:sz w:val="32"/>
          <w:szCs w:val="32"/>
          <w:lang w:val="en-US" w:eastAsia="zh-CN"/>
        </w:rPr>
        <w:t>六、</w:t>
      </w: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720" w:firstLineChars="200"/>
        <w:jc w:val="left"/>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Pr>
        <w:rPr>
          <w:rFonts w:ascii="方正小标宋简体" w:eastAsia="方正小标宋简体"/>
          <w:color w:val="000000"/>
          <w:sz w:val="36"/>
          <w:szCs w:val="36"/>
        </w:rPr>
      </w:pPr>
    </w:p>
    <w:p>
      <w:pPr>
        <w:pStyle w:val="2"/>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sz w:val="32"/>
          <w:szCs w:val="32"/>
        </w:rPr>
        <w:t>北京科技人才发展中心（北京海外学人中心中关村分中心）</w:t>
      </w:r>
      <w:r>
        <w:rPr>
          <w:rFonts w:hint="eastAsia" w:ascii="仿宋_GB2312" w:eastAsia="仿宋_GB2312"/>
          <w:color w:val="000000"/>
          <w:sz w:val="32"/>
          <w:szCs w:val="32"/>
        </w:rPr>
        <w:t>2023年度单位预算报表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bookmarkStart w:id="0" w:name="chaosong"/>
      <w:bookmarkEnd w:id="0"/>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5B2E40"/>
    <w:multiLevelType w:val="singleLevel"/>
    <w:tmpl w:val="6E5B2E4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DA3E64"/>
    <w:rsid w:val="00041FDB"/>
    <w:rsid w:val="00084A5A"/>
    <w:rsid w:val="0011220C"/>
    <w:rsid w:val="00173F58"/>
    <w:rsid w:val="001F075F"/>
    <w:rsid w:val="00275B02"/>
    <w:rsid w:val="002A5605"/>
    <w:rsid w:val="00390491"/>
    <w:rsid w:val="004062C2"/>
    <w:rsid w:val="004230FC"/>
    <w:rsid w:val="004300B6"/>
    <w:rsid w:val="004E3104"/>
    <w:rsid w:val="005F3984"/>
    <w:rsid w:val="006D2A42"/>
    <w:rsid w:val="007E1BA4"/>
    <w:rsid w:val="00852764"/>
    <w:rsid w:val="00935995"/>
    <w:rsid w:val="00990E63"/>
    <w:rsid w:val="009D6C86"/>
    <w:rsid w:val="009E7EE5"/>
    <w:rsid w:val="00A6633A"/>
    <w:rsid w:val="00AA0B9A"/>
    <w:rsid w:val="00B55D3B"/>
    <w:rsid w:val="00BC5167"/>
    <w:rsid w:val="00BD43D2"/>
    <w:rsid w:val="00BF4454"/>
    <w:rsid w:val="00C27C6D"/>
    <w:rsid w:val="00D3600D"/>
    <w:rsid w:val="00D50308"/>
    <w:rsid w:val="00D752CE"/>
    <w:rsid w:val="00DA3E64"/>
    <w:rsid w:val="00DC798D"/>
    <w:rsid w:val="00F528D5"/>
    <w:rsid w:val="00F73CEE"/>
    <w:rsid w:val="00FA610A"/>
    <w:rsid w:val="017A19A1"/>
    <w:rsid w:val="017C2CB3"/>
    <w:rsid w:val="01A00569"/>
    <w:rsid w:val="042A5AF7"/>
    <w:rsid w:val="04447FB3"/>
    <w:rsid w:val="04557DB6"/>
    <w:rsid w:val="045C2977"/>
    <w:rsid w:val="06EA15F1"/>
    <w:rsid w:val="07BB5108"/>
    <w:rsid w:val="07CD02C0"/>
    <w:rsid w:val="08DA0556"/>
    <w:rsid w:val="0A600D23"/>
    <w:rsid w:val="0B19782D"/>
    <w:rsid w:val="0C2C5114"/>
    <w:rsid w:val="0C7849F9"/>
    <w:rsid w:val="0D3A63F7"/>
    <w:rsid w:val="0E146C48"/>
    <w:rsid w:val="0F0E4092"/>
    <w:rsid w:val="0FE3246F"/>
    <w:rsid w:val="10F36FE9"/>
    <w:rsid w:val="14144B0C"/>
    <w:rsid w:val="158156F6"/>
    <w:rsid w:val="15DD18FC"/>
    <w:rsid w:val="16EB30C7"/>
    <w:rsid w:val="16F629B9"/>
    <w:rsid w:val="17122D53"/>
    <w:rsid w:val="1731136C"/>
    <w:rsid w:val="174C39F6"/>
    <w:rsid w:val="19636ACD"/>
    <w:rsid w:val="19AF15A3"/>
    <w:rsid w:val="19AF6DCC"/>
    <w:rsid w:val="19C55EC7"/>
    <w:rsid w:val="1B8970FB"/>
    <w:rsid w:val="1BC25DF0"/>
    <w:rsid w:val="1D56536F"/>
    <w:rsid w:val="1E6C3F37"/>
    <w:rsid w:val="1EE52218"/>
    <w:rsid w:val="1F6E507C"/>
    <w:rsid w:val="1FEC3098"/>
    <w:rsid w:val="2074045F"/>
    <w:rsid w:val="21A127FE"/>
    <w:rsid w:val="230F7587"/>
    <w:rsid w:val="234D2B0B"/>
    <w:rsid w:val="25E35426"/>
    <w:rsid w:val="27332718"/>
    <w:rsid w:val="27BE17EE"/>
    <w:rsid w:val="28DF395A"/>
    <w:rsid w:val="2907142C"/>
    <w:rsid w:val="29A97D58"/>
    <w:rsid w:val="2A252715"/>
    <w:rsid w:val="2A3654DB"/>
    <w:rsid w:val="2A4C2E6E"/>
    <w:rsid w:val="2B024961"/>
    <w:rsid w:val="2BD27A1E"/>
    <w:rsid w:val="2CA30524"/>
    <w:rsid w:val="2D9B2143"/>
    <w:rsid w:val="2E051E23"/>
    <w:rsid w:val="2FD86E9B"/>
    <w:rsid w:val="2FE63C62"/>
    <w:rsid w:val="307153DD"/>
    <w:rsid w:val="31401FA3"/>
    <w:rsid w:val="36154711"/>
    <w:rsid w:val="36CA5C2C"/>
    <w:rsid w:val="37582A72"/>
    <w:rsid w:val="384759D5"/>
    <w:rsid w:val="3AF818B3"/>
    <w:rsid w:val="3B750EE5"/>
    <w:rsid w:val="3C587DD4"/>
    <w:rsid w:val="3C91545E"/>
    <w:rsid w:val="3DF65A2E"/>
    <w:rsid w:val="3F732F1F"/>
    <w:rsid w:val="42FB6058"/>
    <w:rsid w:val="43364990"/>
    <w:rsid w:val="435C6775"/>
    <w:rsid w:val="478D08F6"/>
    <w:rsid w:val="49077CB8"/>
    <w:rsid w:val="498D4675"/>
    <w:rsid w:val="4C740363"/>
    <w:rsid w:val="4DA66A4D"/>
    <w:rsid w:val="4E367CEF"/>
    <w:rsid w:val="4E75546D"/>
    <w:rsid w:val="4EE01C53"/>
    <w:rsid w:val="4F1E5C19"/>
    <w:rsid w:val="4F24642B"/>
    <w:rsid w:val="4F383E2F"/>
    <w:rsid w:val="50A13664"/>
    <w:rsid w:val="50FB7F6E"/>
    <w:rsid w:val="5209265C"/>
    <w:rsid w:val="54675993"/>
    <w:rsid w:val="55926977"/>
    <w:rsid w:val="57BD5228"/>
    <w:rsid w:val="583D1DD1"/>
    <w:rsid w:val="58971F5B"/>
    <w:rsid w:val="59B92E21"/>
    <w:rsid w:val="59C3464B"/>
    <w:rsid w:val="5A162CF0"/>
    <w:rsid w:val="5A752689"/>
    <w:rsid w:val="5BE81245"/>
    <w:rsid w:val="5C664E2A"/>
    <w:rsid w:val="5E03083C"/>
    <w:rsid w:val="5E224753"/>
    <w:rsid w:val="5E2D46A7"/>
    <w:rsid w:val="5F07071D"/>
    <w:rsid w:val="5F136AAF"/>
    <w:rsid w:val="60E66B0E"/>
    <w:rsid w:val="61611A47"/>
    <w:rsid w:val="61EA10F7"/>
    <w:rsid w:val="62422353"/>
    <w:rsid w:val="637235DB"/>
    <w:rsid w:val="63BC79DF"/>
    <w:rsid w:val="644C132A"/>
    <w:rsid w:val="65406257"/>
    <w:rsid w:val="659A1C5A"/>
    <w:rsid w:val="660003CD"/>
    <w:rsid w:val="66AF572C"/>
    <w:rsid w:val="67546BF3"/>
    <w:rsid w:val="68B90674"/>
    <w:rsid w:val="69004F74"/>
    <w:rsid w:val="6AC41FD2"/>
    <w:rsid w:val="6CA94F3B"/>
    <w:rsid w:val="6CAA4B03"/>
    <w:rsid w:val="6F50511D"/>
    <w:rsid w:val="7007308C"/>
    <w:rsid w:val="70EF1F9B"/>
    <w:rsid w:val="718B3E8F"/>
    <w:rsid w:val="72D93BA9"/>
    <w:rsid w:val="72FB2E21"/>
    <w:rsid w:val="740022CC"/>
    <w:rsid w:val="75112A0C"/>
    <w:rsid w:val="76A16046"/>
    <w:rsid w:val="76B949B4"/>
    <w:rsid w:val="787A0C44"/>
    <w:rsid w:val="78A059E2"/>
    <w:rsid w:val="78A74CC3"/>
    <w:rsid w:val="7D0B0AC6"/>
    <w:rsid w:val="7E18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2"/>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2 字符"/>
    <w:basedOn w:val="8"/>
    <w:link w:val="2"/>
    <w:qFormat/>
    <w:uiPriority w:val="0"/>
    <w:rPr>
      <w:rFonts w:ascii="Cambria" w:hAnsi="Cambria" w:eastAsia="黑体" w:cs="Times New Roman"/>
      <w:b/>
      <w:bCs/>
      <w:kern w:val="0"/>
      <w:sz w:val="36"/>
      <w:szCs w:val="32"/>
    </w:rPr>
  </w:style>
  <w:style w:type="paragraph" w:customStyle="1" w:styleId="13">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4">
    <w:name w:val="批注文字 字符"/>
    <w:basedOn w:val="8"/>
    <w:link w:val="3"/>
    <w:qFormat/>
    <w:uiPriority w:val="99"/>
    <w:rPr>
      <w:rFonts w:ascii="Times New Roman" w:hAnsi="Times New Roman" w:eastAsia="宋体" w:cs="Droid Sans"/>
      <w:szCs w:val="24"/>
    </w:rPr>
  </w:style>
  <w:style w:type="character" w:customStyle="1" w:styleId="15">
    <w:name w:val="批注主题 字符"/>
    <w:basedOn w:val="14"/>
    <w:link w:val="6"/>
    <w:semiHidden/>
    <w:qFormat/>
    <w:uiPriority w:val="99"/>
    <w:rPr>
      <w:rFonts w:ascii="Times New Roman" w:hAnsi="Times New Roman" w:eastAsia="宋体" w:cs="Droid Sans"/>
      <w:b/>
      <w:bCs/>
      <w:szCs w:val="24"/>
    </w:rPr>
  </w:style>
  <w:style w:type="paragraph" w:customStyle="1" w:styleId="16">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7">
    <w:name w:val="cf01"/>
    <w:basedOn w:val="8"/>
    <w:qFormat/>
    <w:uiPriority w:val="0"/>
    <w:rPr>
      <w:rFonts w:hint="eastAsia" w:ascii="Microsoft YaHei UI" w:hAnsi="Microsoft YaHei UI" w:eastAsia="Microsoft YaHei UI"/>
      <w:sz w:val="18"/>
      <w:szCs w:val="18"/>
    </w:rPr>
  </w:style>
  <w:style w:type="paragraph" w:customStyle="1" w:styleId="18">
    <w:name w:val="修订2"/>
    <w:hidden/>
    <w:semiHidden/>
    <w:qFormat/>
    <w:uiPriority w:val="99"/>
    <w:rPr>
      <w:rFonts w:ascii="Times New Roman" w:hAnsi="Times New Roman" w:eastAsia="宋体" w:cs="Droid Sans"/>
      <w:kern w:val="2"/>
      <w:sz w:val="21"/>
      <w:szCs w:val="24"/>
      <w:lang w:val="en-US" w:eastAsia="zh-CN" w:bidi="ar-SA"/>
    </w:rPr>
  </w:style>
  <w:style w:type="paragraph" w:customStyle="1" w:styleId="19">
    <w:name w:val="修订3"/>
    <w:hidden/>
    <w:semiHidden/>
    <w:qFormat/>
    <w:uiPriority w:val="99"/>
    <w:rPr>
      <w:rFonts w:ascii="Times New Roman" w:hAnsi="Times New Roman" w:eastAsia="宋体" w:cs="Droid Sans"/>
      <w:kern w:val="2"/>
      <w:sz w:val="21"/>
      <w:szCs w:val="24"/>
      <w:lang w:val="en-US" w:eastAsia="zh-CN" w:bidi="ar-SA"/>
    </w:rPr>
  </w:style>
  <w:style w:type="paragraph" w:customStyle="1" w:styleId="20">
    <w:name w:val="Revision"/>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
        <c:rich>
          <a:bodyPr/>
          <a:lstStyle/>
          <a:p>
            <a:pPr>
              <a:defRPr/>
            </a:pPr>
          </a:p>
        </c:rich>
      </c:tx>
    </c:title>
    <c:autoTitleDeleted val="0"/>
    <c:plotArea>
      <c:layout>
        <c:manualLayout>
          <c:layoutTarget val="inner"/>
          <c:xMode val="edge"/>
          <c:yMode val="edge"/>
          <c:x val="0.308977682747561"/>
          <c:y val="0.185325602140946"/>
          <c:w val="0.387144193505279"/>
          <c:h val="0.64607493309545"/>
        </c:manualLayout>
      </c:layout>
      <c:pieChart>
        <c:varyColors val="1"/>
        <c:ser>
          <c:idx val="0"/>
          <c:order val="0"/>
          <c:tx>
            <c:strRef>
              <c:f>Sheet1!$B$1</c:f>
              <c:strCache>
                <c:ptCount val="1"/>
                <c:pt idx="0">
                  <c:v>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一般公共预算拨款收入</c:v>
                </c:pt>
                <c:pt idx="1">
                  <c:v>上年结转结余</c:v>
                </c:pt>
              </c:strCache>
            </c:strRef>
          </c:cat>
          <c:val>
            <c:numRef>
              <c:f>Sheet1!$B$2:$B$3</c:f>
              <c:numCache>
                <c:formatCode>0.00%</c:formatCode>
                <c:ptCount val="2"/>
                <c:pt idx="0">
                  <c:v>0.8327</c:v>
                </c:pt>
                <c:pt idx="1">
                  <c:v>0.1673</c:v>
                </c:pt>
              </c:numCache>
            </c:numRef>
          </c:val>
        </c:ser>
        <c:dLbls>
          <c:showLegendKey val="0"/>
          <c:showVal val="1"/>
          <c:showCatName val="0"/>
          <c:showSerName val="0"/>
          <c:showPercent val="0"/>
          <c:showBubbleSize val="0"/>
          <c:showLeaderLines val="1"/>
        </c:dLbls>
        <c:firstSliceAng val="8"/>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
        <c:rich>
          <a:bodyPr/>
          <a:lstStyle/>
          <a:p>
            <a:pPr>
              <a:defRPr/>
            </a:pPr>
          </a:p>
        </c:rich>
      </c:tx>
    </c:title>
    <c:autoTitleDeleted val="0"/>
    <c:plotArea>
      <c:layout>
        <c:manualLayout>
          <c:layoutTarget val="inner"/>
          <c:xMode val="edge"/>
          <c:yMode val="edge"/>
          <c:x val="0.308977682747561"/>
          <c:y val="0.185325602140946"/>
          <c:w val="0.387144193505279"/>
          <c:h val="0.64607493309545"/>
        </c:manualLayout>
      </c:layout>
      <c:pieChart>
        <c:varyColors val="1"/>
        <c:ser>
          <c:idx val="0"/>
          <c:order val="0"/>
          <c:tx>
            <c:strRef>
              <c:f>Sheet1!$B$1</c:f>
              <c:strCache>
                <c:ptCount val="1"/>
                <c:pt idx="0">
                  <c:v>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0.5679</c:v>
                </c:pt>
                <c:pt idx="1">
                  <c:v>0.4321</c:v>
                </c:pt>
              </c:numCache>
            </c:numRef>
          </c:val>
        </c:ser>
        <c:dLbls>
          <c:showLegendKey val="0"/>
          <c:showVal val="1"/>
          <c:showCatName val="0"/>
          <c:showSerName val="0"/>
          <c:showPercent val="0"/>
          <c:showBubbleSize val="0"/>
          <c:showLeaderLines val="1"/>
        </c:dLbls>
        <c:firstSliceAng val="8"/>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colors2.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2C820C-FA99-4654-96F6-FD812A43DD38}">
  <ds:schemaRefs/>
</ds:datastoreItem>
</file>

<file path=docProps/app.xml><?xml version="1.0" encoding="utf-8"?>
<Properties xmlns="http://schemas.openxmlformats.org/officeDocument/2006/extended-properties" xmlns:vt="http://schemas.openxmlformats.org/officeDocument/2006/docPropsVTypes">
  <Template>Normal</Template>
  <Pages>1</Pages>
  <Words>417</Words>
  <Characters>2382</Characters>
  <Lines>19</Lines>
  <Paragraphs>5</Paragraphs>
  <TotalTime>1</TotalTime>
  <ScaleCrop>false</ScaleCrop>
  <LinksUpToDate>false</LinksUpToDate>
  <CharactersWithSpaces>2794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2023-02-21T07:12:00Z</dcterms:created>
  <dc:creator>马 亚文</dc:creator>
  <cp:lastModifiedBy>leo-yao</cp:lastModifiedBy>
  <cp:lastPrinted>2023-02-23T02:58:00Z</cp:lastPrinted>
  <dcterms:modified xsi:type="dcterms:W3CDTF">2023-02-23T06:56:45Z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7D4E5D19AF1F4CF9991F52AF6A018DF1</vt:lpwstr>
  </property>
</Properties>
</file>