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eastAsia="方正小标宋简体"/>
          <w:color w:val="000000"/>
          <w:sz w:val="36"/>
          <w:szCs w:val="36"/>
        </w:rPr>
      </w:pPr>
      <w:r>
        <w:rPr>
          <w:rFonts w:hint="eastAsia" w:ascii="方正小标宋简体" w:eastAsia="方正小标宋简体"/>
          <w:color w:val="000000"/>
          <w:sz w:val="36"/>
          <w:szCs w:val="36"/>
        </w:rPr>
        <w:t>北京信息科技发展中心</w:t>
      </w: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2023年财政预算信息公开</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第一部分 2023年度单位预算情况说明</w:t>
      </w:r>
    </w:p>
    <w:p>
      <w:pPr>
        <w:spacing w:line="560" w:lineRule="exact"/>
        <w:ind w:firstLine="640" w:firstLineChars="200"/>
        <w:rPr>
          <w:rFonts w:ascii="仿宋_GB2312" w:hAnsi="仿宋_GB2312" w:eastAsia="仿宋_GB2312" w:cs="仿宋_GB2312"/>
          <w:color w:val="000000"/>
          <w:sz w:val="32"/>
          <w:szCs w:val="32"/>
          <w:lang w:val="en"/>
        </w:rPr>
      </w:pPr>
      <w:r>
        <w:rPr>
          <w:rFonts w:hint="eastAsia" w:ascii="仿宋_GB2312" w:hAnsi="仿宋_GB2312" w:eastAsia="仿宋_GB2312" w:cs="仿宋_GB2312"/>
          <w:color w:val="000000"/>
          <w:sz w:val="32"/>
          <w:szCs w:val="32"/>
        </w:rPr>
        <w:t>一、单位情况说明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第二部分 2023年度单位预算报表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二、收入总表    </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七、一般公共预算财政拨款支出表</w:t>
      </w:r>
    </w:p>
    <w:p>
      <w:pPr>
        <w:autoSpaceDE w:val="0"/>
        <w:autoSpaceDN w:val="0"/>
        <w:adjustRightInd w:val="0"/>
        <w:spacing w:line="560" w:lineRule="exact"/>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 xml:space="preserve">    </w:t>
      </w:r>
      <w:r>
        <w:rPr>
          <w:rFonts w:hint="eastAsia" w:ascii="仿宋_GB2312" w:hAnsi="仿宋_GB2312" w:eastAsia="仿宋_GB2312" w:cs="仿宋_GB2312"/>
          <w:color w:val="000000"/>
          <w:spacing w:val="-16"/>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pPr>
        <w:autoSpaceDE w:val="0"/>
        <w:autoSpaceDN w:val="0"/>
        <w:adjustRightInd w:val="0"/>
        <w:spacing w:line="560" w:lineRule="exact"/>
        <w:ind w:firstLine="576"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spacing w:val="-16"/>
          <w:kern w:val="0"/>
          <w:sz w:val="32"/>
          <w:szCs w:val="32"/>
          <w:lang w:val="zh-CN"/>
        </w:rPr>
        <w:t>十一、财政拨款</w:t>
      </w:r>
      <w:r>
        <w:rPr>
          <w:rFonts w:hint="eastAsia" w:ascii="仿宋_GB2312" w:hAnsi="仿宋_GB2312" w:eastAsia="仿宋_GB2312" w:cs="仿宋_GB2312"/>
          <w:color w:val="000000"/>
          <w:kern w:val="0"/>
          <w:sz w:val="32"/>
          <w:szCs w:val="32"/>
          <w:lang w:val="zh-CN"/>
        </w:rPr>
        <w:t>“三公”经费支出表</w:t>
      </w:r>
    </w:p>
    <w:p>
      <w:pPr>
        <w:autoSpaceDE w:val="0"/>
        <w:autoSpaceDN w:val="0"/>
        <w:adjustRightInd w:val="0"/>
        <w:spacing w:line="560" w:lineRule="exact"/>
        <w:ind w:firstLine="568" w:firstLineChars="200"/>
        <w:jc w:val="left"/>
        <w:rPr>
          <w:rFonts w:ascii="仿宋_GB2312" w:hAnsi="仿宋_GB2312" w:eastAsia="仿宋_GB2312" w:cs="仿宋_GB2312"/>
          <w:color w:val="000000"/>
          <w:spacing w:val="-18"/>
          <w:kern w:val="0"/>
          <w:sz w:val="32"/>
          <w:szCs w:val="32"/>
          <w:lang w:val="zh-CN"/>
        </w:rPr>
      </w:pPr>
      <w:r>
        <w:rPr>
          <w:rFonts w:hint="eastAsia" w:ascii="仿宋_GB2312" w:hAnsi="仿宋_GB2312" w:eastAsia="仿宋_GB2312" w:cs="仿宋_GB2312"/>
          <w:color w:val="000000"/>
          <w:spacing w:val="-18"/>
          <w:kern w:val="0"/>
          <w:sz w:val="32"/>
          <w:szCs w:val="32"/>
          <w:lang w:val="zh-CN"/>
        </w:rPr>
        <w:t>十二、政府购买服务预算财政拨款明细表</w:t>
      </w:r>
    </w:p>
    <w:p>
      <w:pPr>
        <w:autoSpaceDE w:val="0"/>
        <w:autoSpaceDN w:val="0"/>
        <w:adjustRightInd w:val="0"/>
        <w:spacing w:line="560" w:lineRule="exact"/>
        <w:ind w:firstLine="568" w:firstLineChars="200"/>
        <w:jc w:val="left"/>
        <w:rPr>
          <w:rFonts w:ascii="仿宋_GB2312" w:hAnsi="仿宋_GB2312" w:eastAsia="仿宋_GB2312" w:cs="仿宋_GB2312"/>
          <w:color w:val="000000"/>
          <w:spacing w:val="-18"/>
          <w:kern w:val="0"/>
          <w:sz w:val="32"/>
          <w:szCs w:val="32"/>
          <w:lang w:val="zh-CN"/>
        </w:rPr>
      </w:pPr>
      <w:r>
        <w:rPr>
          <w:rFonts w:hint="eastAsia" w:ascii="仿宋_GB2312" w:hAnsi="仿宋_GB2312" w:eastAsia="仿宋_GB2312" w:cs="仿宋_GB2312"/>
          <w:color w:val="000000"/>
          <w:spacing w:val="-18"/>
          <w:kern w:val="0"/>
          <w:sz w:val="32"/>
          <w:szCs w:val="32"/>
          <w:lang w:val="zh-CN"/>
        </w:rPr>
        <w:t>十三、项目支出绩效目标表</w:t>
      </w: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2023年度单位预算情况说明</w:t>
      </w:r>
    </w:p>
    <w:p>
      <w:pPr>
        <w:spacing w:line="360" w:lineRule="auto"/>
        <w:rPr>
          <w:rFonts w:ascii="仿宋_GB2312" w:eastAsia="仿宋_GB2312"/>
          <w:color w:val="000000"/>
          <w:sz w:val="32"/>
          <w:szCs w:val="32"/>
        </w:rPr>
      </w:pP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一、单位情况说明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ind w:firstLine="640" w:firstLineChars="200"/>
        <w:rPr>
          <w:rFonts w:ascii="仿宋_GB2312" w:eastAsia="仿宋_GB2312"/>
          <w:sz w:val="32"/>
          <w:szCs w:val="32"/>
        </w:rPr>
      </w:pPr>
      <w:r>
        <w:rPr>
          <w:rFonts w:hint="eastAsia" w:ascii="仿宋_GB2312" w:eastAsia="仿宋_GB2312"/>
          <w:sz w:val="32"/>
          <w:szCs w:val="32"/>
        </w:rPr>
        <w:t>根据中共北京市委机构编制委员会《关于市科委、中关村管委会所属事业单位改革有关事项的批复》(京编委[2021]66号)，设立北京信息科技发展中心。主要职责：承担信息技术领域科技创新布局研究、项目管理和创新主体服务等工作。</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（二）机构设置情况</w:t>
      </w:r>
    </w:p>
    <w:p>
      <w:pPr>
        <w:snapToGrid w:val="0"/>
        <w:spacing w:line="520" w:lineRule="exact"/>
        <w:ind w:firstLine="640" w:firstLineChars="200"/>
        <w:rPr>
          <w:rFonts w:ascii="仿宋_GB2312" w:hAnsi="仿宋" w:eastAsia="仿宋_GB2312"/>
          <w:sz w:val="32"/>
          <w:szCs w:val="32"/>
        </w:rPr>
      </w:pPr>
      <w:r>
        <w:rPr>
          <w:rFonts w:hint="eastAsia" w:ascii="仿宋_GB2312" w:eastAsia="仿宋_GB2312"/>
          <w:sz w:val="32"/>
          <w:szCs w:val="32"/>
        </w:rPr>
        <w:t>北京信息科技发展中心内设6个部门，分别是：综合管理部、电子信息部、交叉前沿部、人工智能部、数字经济部和产业服务部。</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（三）人员编制及实有情况</w:t>
      </w:r>
    </w:p>
    <w:p>
      <w:pPr>
        <w:ind w:firstLine="640" w:firstLineChars="200"/>
        <w:rPr>
          <w:rFonts w:ascii="仿宋_GB2312" w:eastAsia="仿宋_GB2312"/>
          <w:sz w:val="32"/>
          <w:szCs w:val="32"/>
        </w:rPr>
      </w:pPr>
      <w:r>
        <w:rPr>
          <w:rFonts w:hint="eastAsia" w:ascii="仿宋_GB2312" w:eastAsia="仿宋_GB2312"/>
          <w:sz w:val="32"/>
          <w:szCs w:val="32"/>
        </w:rPr>
        <w:t>北京信息科技发展中心事业编制51人，</w:t>
      </w:r>
      <w:r>
        <w:rPr>
          <w:rFonts w:hint="eastAsia" w:ascii="仿宋_GB2312" w:eastAsia="仿宋_GB2312"/>
          <w:color w:val="000000"/>
          <w:sz w:val="32"/>
          <w:szCs w:val="32"/>
        </w:rPr>
        <w:t>实有人数</w:t>
      </w:r>
      <w:r>
        <w:rPr>
          <w:rFonts w:hint="eastAsia" w:ascii="仿宋_GB2312" w:eastAsia="仿宋_GB2312"/>
          <w:sz w:val="32"/>
          <w:szCs w:val="32"/>
        </w:rPr>
        <w:t>34人；离退休人员1人，其中：离休0人，退休1人。</w:t>
      </w:r>
    </w:p>
    <w:p>
      <w:pPr>
        <w:spacing w:line="560" w:lineRule="exact"/>
        <w:ind w:firstLine="640" w:firstLineChars="200"/>
        <w:rPr>
          <w:rFonts w:ascii="黑体" w:eastAsia="黑体"/>
          <w:color w:val="FF0000"/>
          <w:sz w:val="32"/>
          <w:szCs w:val="32"/>
        </w:rPr>
      </w:pPr>
      <w:r>
        <w:rPr>
          <w:rFonts w:hint="eastAsia" w:ascii="黑体" w:eastAsia="黑体"/>
          <w:color w:val="000000"/>
          <w:sz w:val="32"/>
          <w:szCs w:val="32"/>
        </w:rPr>
        <w:t>二、收入预算情况说明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2023年度收入预算</w:t>
      </w:r>
      <w:r>
        <w:rPr>
          <w:rFonts w:ascii="仿宋_GB2312" w:eastAsia="仿宋_GB2312"/>
          <w:sz w:val="32"/>
          <w:szCs w:val="32"/>
        </w:rPr>
        <w:t>2,165.9</w:t>
      </w:r>
      <w:r>
        <w:rPr>
          <w:rFonts w:hint="eastAsia" w:ascii="仿宋_GB2312" w:eastAsia="仿宋_GB2312"/>
          <w:sz w:val="32"/>
          <w:szCs w:val="32"/>
        </w:rPr>
        <w:t>7万元，比2022年年初预算数0.</w:t>
      </w:r>
      <w:r>
        <w:rPr>
          <w:rFonts w:ascii="仿宋_GB2312" w:eastAsia="仿宋_GB2312"/>
          <w:sz w:val="32"/>
          <w:szCs w:val="32"/>
        </w:rPr>
        <w:t>00</w:t>
      </w:r>
      <w:r>
        <w:rPr>
          <w:rFonts w:hint="eastAsia" w:ascii="仿宋_GB2312" w:eastAsia="仿宋_GB2312"/>
          <w:sz w:val="32"/>
          <w:szCs w:val="32"/>
        </w:rPr>
        <w:t>万元增加</w:t>
      </w:r>
      <w:r>
        <w:rPr>
          <w:rFonts w:ascii="仿宋_GB2312" w:eastAsia="仿宋_GB2312"/>
          <w:sz w:val="32"/>
          <w:szCs w:val="32"/>
        </w:rPr>
        <w:t>2,165.9</w:t>
      </w:r>
      <w:r>
        <w:rPr>
          <w:rFonts w:hint="eastAsia" w:ascii="仿宋_GB2312" w:eastAsia="仿宋_GB2312"/>
          <w:sz w:val="32"/>
          <w:szCs w:val="32"/>
        </w:rPr>
        <w:t>7万元，增长100%。主要原因是事业单位改革后，我单位新纳入2023年部门预算编报范围。</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（一）本年财政拨款收入</w:t>
      </w:r>
      <w:r>
        <w:rPr>
          <w:rFonts w:ascii="楷体_GB2312" w:eastAsia="楷体_GB2312"/>
          <w:sz w:val="32"/>
          <w:szCs w:val="32"/>
        </w:rPr>
        <w:t>1,813.67</w:t>
      </w:r>
      <w:r>
        <w:rPr>
          <w:rFonts w:hint="eastAsia" w:ascii="楷体_GB2312" w:eastAsia="楷体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1.一般公共预算拨款收入</w:t>
      </w:r>
      <w:r>
        <w:rPr>
          <w:rFonts w:ascii="仿宋_GB2312" w:eastAsia="仿宋_GB2312"/>
          <w:sz w:val="32"/>
          <w:szCs w:val="32"/>
        </w:rPr>
        <w:t>1,813.67</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2.政府性基金预算拨款收入0.</w:t>
      </w:r>
      <w:r>
        <w:rPr>
          <w:rFonts w:ascii="仿宋_GB2312" w:eastAsia="仿宋_GB2312"/>
          <w:sz w:val="32"/>
          <w:szCs w:val="32"/>
        </w:rPr>
        <w:t>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3.国有资本经营预算拨款收入0</w:t>
      </w:r>
      <w:r>
        <w:rPr>
          <w:rFonts w:ascii="仿宋_GB2312" w:eastAsia="仿宋_GB2312"/>
          <w:sz w:val="32"/>
          <w:szCs w:val="32"/>
        </w:rPr>
        <w:t>.00</w:t>
      </w:r>
      <w:r>
        <w:rPr>
          <w:rFonts w:hint="eastAsia" w:ascii="仿宋_GB2312" w:eastAsia="仿宋_GB2312"/>
          <w:sz w:val="32"/>
          <w:szCs w:val="32"/>
        </w:rPr>
        <w:t>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（二）本年其他资金收入0</w:t>
      </w:r>
      <w:r>
        <w:rPr>
          <w:rFonts w:ascii="楷体_GB2312" w:eastAsia="楷体_GB2312"/>
          <w:sz w:val="32"/>
          <w:szCs w:val="32"/>
        </w:rPr>
        <w:t>.00</w:t>
      </w:r>
      <w:r>
        <w:rPr>
          <w:rFonts w:hint="eastAsia" w:ascii="楷体_GB2312" w:eastAsia="楷体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4.财政专户管理资金收入0</w:t>
      </w:r>
      <w:r>
        <w:rPr>
          <w:rFonts w:ascii="仿宋_GB2312" w:eastAsia="仿宋_GB2312"/>
          <w:sz w:val="32"/>
          <w:szCs w:val="32"/>
        </w:rPr>
        <w:t>.00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5.事业收入0</w:t>
      </w:r>
      <w:r>
        <w:rPr>
          <w:rFonts w:ascii="仿宋_GB2312" w:eastAsia="仿宋_GB2312"/>
          <w:sz w:val="32"/>
          <w:szCs w:val="32"/>
        </w:rPr>
        <w:t>.00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6.上级补助收入0</w:t>
      </w:r>
      <w:r>
        <w:rPr>
          <w:rFonts w:ascii="仿宋_GB2312" w:eastAsia="仿宋_GB2312"/>
          <w:sz w:val="32"/>
          <w:szCs w:val="32"/>
        </w:rPr>
        <w:t>.00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7.附属单位上缴收入0</w:t>
      </w:r>
      <w:r>
        <w:rPr>
          <w:rFonts w:ascii="仿宋_GB2312" w:eastAsia="仿宋_GB2312"/>
          <w:sz w:val="32"/>
          <w:szCs w:val="32"/>
        </w:rPr>
        <w:t>.00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8.事业单位经营收入0</w:t>
      </w:r>
      <w:r>
        <w:rPr>
          <w:rFonts w:ascii="仿宋_GB2312" w:eastAsia="仿宋_GB2312"/>
          <w:sz w:val="32"/>
          <w:szCs w:val="32"/>
        </w:rPr>
        <w:t>.00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9.其他收入0</w:t>
      </w:r>
      <w:r>
        <w:rPr>
          <w:rFonts w:ascii="仿宋_GB2312" w:eastAsia="仿宋_GB2312"/>
          <w:sz w:val="32"/>
          <w:szCs w:val="32"/>
        </w:rPr>
        <w:t>.00</w:t>
      </w:r>
      <w:r>
        <w:rPr>
          <w:rFonts w:hint="eastAsia" w:ascii="仿宋_GB2312" w:eastAsia="仿宋_GB2312"/>
          <w:sz w:val="32"/>
          <w:szCs w:val="32"/>
        </w:rPr>
        <w:t>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（三）上年结转结余</w:t>
      </w:r>
      <w:r>
        <w:rPr>
          <w:rFonts w:ascii="楷体_GB2312" w:eastAsia="楷体_GB2312"/>
          <w:sz w:val="32"/>
          <w:szCs w:val="32"/>
        </w:rPr>
        <w:t>352.29</w:t>
      </w:r>
      <w:r>
        <w:rPr>
          <w:rFonts w:hint="eastAsia" w:ascii="楷体_GB2312" w:eastAsia="楷体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10.上年结转结余</w:t>
      </w:r>
      <w:r>
        <w:rPr>
          <w:rFonts w:ascii="仿宋_GB2312" w:eastAsia="仿宋_GB2312"/>
          <w:sz w:val="32"/>
          <w:szCs w:val="32"/>
        </w:rPr>
        <w:t>352.29</w:t>
      </w:r>
      <w:r>
        <w:rPr>
          <w:rFonts w:hint="eastAsia" w:ascii="仿宋_GB2312" w:eastAsia="仿宋_GB2312"/>
          <w:sz w:val="32"/>
          <w:szCs w:val="32"/>
        </w:rPr>
        <w:t>万元。</w:t>
      </w:r>
    </w:p>
    <w:p>
      <w:pPr>
        <w:pStyle w:val="2"/>
        <w:jc w:val="center"/>
        <w:rPr>
          <w:rFonts w:ascii="仿宋_GB2312" w:eastAsia="仿宋_GB2312"/>
          <w:sz w:val="32"/>
        </w:rPr>
      </w:pPr>
      <w:r>
        <w:rPr>
          <w:rFonts w:hint="eastAsia" w:ascii="仿宋_GB2312" w:eastAsia="仿宋_GB2312"/>
          <w:b w:val="0"/>
          <w:bCs w:val="0"/>
          <w:sz w:val="32"/>
        </w:rPr>
        <w:t>图1：收入预算</w:t>
      </w:r>
    </w:p>
    <w:p>
      <w:pPr>
        <w:pStyle w:val="2"/>
        <w:jc w:val="center"/>
      </w:pPr>
      <w:r>
        <w:t xml:space="preserve"> </w:t>
      </w:r>
      <w:r>
        <w:drawing>
          <wp:inline distT="0" distB="0" distL="0" distR="0">
            <wp:extent cx="4705350" cy="2548890"/>
            <wp:effectExtent l="6350" t="6350" r="12700" b="6985"/>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
      <w:pPr>
        <w:spacing w:line="560" w:lineRule="exact"/>
        <w:ind w:firstLine="640" w:firstLineChars="200"/>
        <w:rPr>
          <w:rFonts w:ascii="黑体" w:eastAsia="黑体"/>
          <w:sz w:val="32"/>
          <w:szCs w:val="32"/>
        </w:rPr>
      </w:pPr>
      <w:r>
        <w:rPr>
          <w:rFonts w:hint="eastAsia" w:ascii="黑体" w:eastAsia="黑体"/>
          <w:sz w:val="32"/>
          <w:szCs w:val="32"/>
        </w:rPr>
        <w:t>三、支出预算情况说明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2023年支出预算</w:t>
      </w:r>
      <w:r>
        <w:rPr>
          <w:rFonts w:ascii="仿宋_GB2312" w:eastAsia="仿宋_GB2312"/>
          <w:sz w:val="32"/>
          <w:szCs w:val="32"/>
        </w:rPr>
        <w:t>2,165.9</w:t>
      </w:r>
      <w:r>
        <w:rPr>
          <w:rFonts w:hint="eastAsia" w:ascii="仿宋_GB2312" w:eastAsia="仿宋_GB2312"/>
          <w:sz w:val="32"/>
          <w:szCs w:val="32"/>
        </w:rPr>
        <w:t>7万元，比2022年年初预算数0.</w:t>
      </w:r>
      <w:r>
        <w:rPr>
          <w:rFonts w:ascii="仿宋_GB2312" w:eastAsia="仿宋_GB2312"/>
          <w:sz w:val="32"/>
          <w:szCs w:val="32"/>
        </w:rPr>
        <w:t>00</w:t>
      </w:r>
      <w:r>
        <w:rPr>
          <w:rFonts w:hint="eastAsia" w:ascii="仿宋_GB2312" w:eastAsia="仿宋_GB2312"/>
          <w:sz w:val="32"/>
          <w:szCs w:val="32"/>
        </w:rPr>
        <w:t>万元增加</w:t>
      </w:r>
      <w:r>
        <w:rPr>
          <w:rFonts w:ascii="仿宋_GB2312" w:eastAsia="仿宋_GB2312"/>
          <w:sz w:val="32"/>
          <w:szCs w:val="32"/>
        </w:rPr>
        <w:t>2,165.9</w:t>
      </w:r>
      <w:r>
        <w:rPr>
          <w:rFonts w:hint="eastAsia" w:ascii="仿宋_GB2312" w:eastAsia="仿宋_GB2312"/>
          <w:sz w:val="32"/>
          <w:szCs w:val="32"/>
        </w:rPr>
        <w:t>7万元，增长100%。主要原因是事业单位改革后，我单位新纳入2023年部门预算编报范围。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（一）基本支出。基本支出预算</w:t>
      </w:r>
      <w:r>
        <w:rPr>
          <w:rFonts w:ascii="仿宋_GB2312" w:eastAsia="仿宋_GB2312"/>
          <w:sz w:val="32"/>
          <w:szCs w:val="32"/>
        </w:rPr>
        <w:t>1,507.1</w:t>
      </w:r>
      <w:r>
        <w:rPr>
          <w:rFonts w:hint="eastAsia" w:ascii="仿宋_GB2312" w:eastAsia="仿宋_GB2312"/>
          <w:sz w:val="32"/>
          <w:szCs w:val="32"/>
        </w:rPr>
        <w:t>5万元，占总支出预算69.58%，比2022年年初预算数0.</w:t>
      </w:r>
      <w:r>
        <w:rPr>
          <w:rFonts w:ascii="仿宋_GB2312" w:eastAsia="仿宋_GB2312"/>
          <w:sz w:val="32"/>
          <w:szCs w:val="32"/>
        </w:rPr>
        <w:t>00</w:t>
      </w:r>
      <w:r>
        <w:rPr>
          <w:rFonts w:hint="eastAsia" w:ascii="仿宋_GB2312" w:eastAsia="仿宋_GB2312"/>
          <w:sz w:val="32"/>
          <w:szCs w:val="32"/>
        </w:rPr>
        <w:t>万元增加1</w:t>
      </w:r>
      <w:r>
        <w:rPr>
          <w:rFonts w:ascii="仿宋_GB2312" w:eastAsia="仿宋_GB2312"/>
          <w:sz w:val="32"/>
          <w:szCs w:val="32"/>
        </w:rPr>
        <w:t>,</w:t>
      </w:r>
      <w:r>
        <w:rPr>
          <w:rFonts w:hint="eastAsia" w:ascii="仿宋_GB2312" w:eastAsia="仿宋_GB2312"/>
          <w:sz w:val="32"/>
          <w:szCs w:val="32"/>
        </w:rPr>
        <w:t>507.15万元，增长100%。</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（二）项目支出。项目支出预算</w:t>
      </w:r>
      <w:r>
        <w:rPr>
          <w:rFonts w:ascii="仿宋_GB2312" w:eastAsia="仿宋_GB2312"/>
          <w:sz w:val="32"/>
          <w:szCs w:val="32"/>
        </w:rPr>
        <w:t>658.82</w:t>
      </w:r>
      <w:r>
        <w:rPr>
          <w:rFonts w:hint="eastAsia" w:ascii="仿宋_GB2312" w:eastAsia="仿宋_GB2312"/>
          <w:sz w:val="32"/>
          <w:szCs w:val="32"/>
        </w:rPr>
        <w:t>万元，比2022年年初预算数0</w:t>
      </w:r>
      <w:r>
        <w:rPr>
          <w:rFonts w:ascii="仿宋_GB2312" w:eastAsia="仿宋_GB2312"/>
          <w:sz w:val="32"/>
          <w:szCs w:val="32"/>
        </w:rPr>
        <w:t>.00</w:t>
      </w:r>
      <w:r>
        <w:rPr>
          <w:rFonts w:hint="eastAsia" w:ascii="仿宋_GB2312" w:eastAsia="仿宋_GB2312"/>
          <w:sz w:val="32"/>
          <w:szCs w:val="32"/>
        </w:rPr>
        <w:t>万元增加658.82万元，增长100%。其中：</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1.事业单位经营支出0</w:t>
      </w:r>
      <w:r>
        <w:rPr>
          <w:rFonts w:ascii="仿宋_GB2312" w:eastAsia="仿宋_GB2312"/>
          <w:sz w:val="32"/>
          <w:szCs w:val="32"/>
        </w:rPr>
        <w:t>.00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2.上缴上级支出0</w:t>
      </w:r>
      <w:r>
        <w:rPr>
          <w:rFonts w:ascii="仿宋_GB2312" w:eastAsia="仿宋_GB2312"/>
          <w:sz w:val="32"/>
          <w:szCs w:val="32"/>
        </w:rPr>
        <w:t>.00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3.对附属单位补助支出0</w:t>
      </w:r>
      <w:r>
        <w:rPr>
          <w:rFonts w:ascii="仿宋_GB2312" w:eastAsia="仿宋_GB2312"/>
          <w:sz w:val="32"/>
          <w:szCs w:val="32"/>
        </w:rPr>
        <w:t>.00</w:t>
      </w:r>
      <w:r>
        <w:rPr>
          <w:rFonts w:hint="eastAsia" w:ascii="仿宋_GB2312" w:eastAsia="仿宋_GB2312"/>
          <w:sz w:val="32"/>
          <w:szCs w:val="32"/>
        </w:rPr>
        <w:t>万元。</w:t>
      </w:r>
    </w:p>
    <w:p>
      <w:pPr>
        <w:pStyle w:val="2"/>
        <w:ind w:firstLine="642"/>
        <w:jc w:val="center"/>
        <w:rPr>
          <w:rFonts w:ascii="仿宋_GB2312" w:eastAsia="仿宋_GB2312"/>
          <w:b w:val="0"/>
          <w:bCs w:val="0"/>
          <w:sz w:val="32"/>
        </w:rPr>
      </w:pPr>
      <w:r>
        <w:rPr>
          <w:rFonts w:hint="eastAsia" w:ascii="仿宋_GB2312" w:eastAsia="仿宋_GB2312"/>
          <w:b w:val="0"/>
          <w:bCs w:val="0"/>
          <w:sz w:val="32"/>
        </w:rPr>
        <w:t>图2：基本支出和项目支出情况</w:t>
      </w:r>
    </w:p>
    <w:p>
      <w:pPr>
        <w:pStyle w:val="2"/>
        <w:jc w:val="center"/>
      </w:pPr>
      <w:r>
        <w:drawing>
          <wp:inline distT="0" distB="0" distL="0" distR="0">
            <wp:extent cx="4514850" cy="2552700"/>
            <wp:effectExtent l="6350" t="6350" r="12700" b="12700"/>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bookmarkStart w:id="1" w:name="_GoBack"/>
      <w:bookmarkEnd w:id="1"/>
    </w:p>
    <w:p>
      <w:pPr>
        <w:spacing w:line="560" w:lineRule="exact"/>
        <w:ind w:firstLine="640" w:firstLineChars="200"/>
        <w:rPr>
          <w:rFonts w:ascii="黑体" w:eastAsia="黑体"/>
          <w:sz w:val="32"/>
          <w:szCs w:val="32"/>
        </w:rPr>
      </w:pPr>
    </w:p>
    <w:p>
      <w:pPr>
        <w:spacing w:line="560" w:lineRule="exact"/>
        <w:ind w:firstLine="640" w:firstLineChars="200"/>
        <w:rPr>
          <w:rFonts w:ascii="黑体" w:eastAsia="黑体"/>
          <w:sz w:val="32"/>
          <w:szCs w:val="32"/>
        </w:rPr>
      </w:pPr>
      <w:r>
        <w:rPr>
          <w:rFonts w:hint="eastAsia" w:ascii="黑体" w:eastAsia="黑体"/>
          <w:sz w:val="32"/>
          <w:szCs w:val="32"/>
        </w:rPr>
        <w:t>四、财政拨款“三公”经费预算情况说明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本单位2023年无财政拨款安排的</w:t>
      </w:r>
      <w:r>
        <w:rPr>
          <w:rFonts w:hint="eastAsia" w:ascii="仿宋_GB2312" w:eastAsia="仿宋_GB2312"/>
          <w:sz w:val="32"/>
          <w:szCs w:val="32"/>
          <w:lang w:eastAsia="zh-CN"/>
        </w:rPr>
        <w:t>“</w:t>
      </w:r>
      <w:r>
        <w:rPr>
          <w:rFonts w:hint="eastAsia" w:ascii="仿宋_GB2312" w:eastAsia="仿宋_GB2312"/>
          <w:sz w:val="32"/>
          <w:szCs w:val="32"/>
        </w:rPr>
        <w:t>三公</w:t>
      </w:r>
      <w:r>
        <w:rPr>
          <w:rFonts w:hint="eastAsia" w:ascii="仿宋_GB2312" w:eastAsia="仿宋_GB2312"/>
          <w:sz w:val="32"/>
          <w:szCs w:val="32"/>
          <w:lang w:eastAsia="zh-CN"/>
        </w:rPr>
        <w:t>”</w:t>
      </w:r>
      <w:r>
        <w:rPr>
          <w:rFonts w:hint="eastAsia" w:ascii="仿宋_GB2312" w:eastAsia="仿宋_GB2312"/>
          <w:sz w:val="32"/>
          <w:szCs w:val="32"/>
        </w:rPr>
        <w:t>经费预算。</w:t>
      </w:r>
    </w:p>
    <w:p>
      <w:pPr>
        <w:spacing w:line="560" w:lineRule="exact"/>
        <w:ind w:firstLine="640" w:firstLineChars="200"/>
        <w:rPr>
          <w:rFonts w:ascii="黑体" w:eastAsia="黑体"/>
          <w:sz w:val="32"/>
          <w:szCs w:val="32"/>
        </w:rPr>
      </w:pPr>
      <w:r>
        <w:rPr>
          <w:rFonts w:hint="eastAsia" w:ascii="黑体" w:eastAsia="黑体"/>
          <w:sz w:val="32"/>
          <w:szCs w:val="32"/>
        </w:rPr>
        <w:t>五、其他情况说明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（一）政府采购预算说明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2023年北京信息科技发展中心政府采购预算总额</w:t>
      </w:r>
      <w:r>
        <w:rPr>
          <w:rFonts w:ascii="仿宋_GB2312" w:eastAsia="仿宋_GB2312"/>
          <w:sz w:val="32"/>
          <w:szCs w:val="32"/>
        </w:rPr>
        <w:t>43.7</w:t>
      </w:r>
      <w:r>
        <w:rPr>
          <w:rFonts w:hint="eastAsia" w:ascii="仿宋_GB2312" w:eastAsia="仿宋_GB2312"/>
          <w:sz w:val="32"/>
          <w:szCs w:val="32"/>
        </w:rPr>
        <w:t>3万元，其中：政府采购货物预算</w:t>
      </w:r>
      <w:r>
        <w:rPr>
          <w:rFonts w:ascii="仿宋_GB2312" w:eastAsia="仿宋_GB2312"/>
          <w:sz w:val="32"/>
          <w:szCs w:val="32"/>
        </w:rPr>
        <w:t>36.92</w:t>
      </w:r>
      <w:r>
        <w:rPr>
          <w:rFonts w:hint="eastAsia" w:ascii="仿宋_GB2312" w:eastAsia="仿宋_GB2312"/>
          <w:sz w:val="32"/>
          <w:szCs w:val="32"/>
        </w:rPr>
        <w:t>万元，政府采购工程预算0</w:t>
      </w:r>
      <w:r>
        <w:rPr>
          <w:rFonts w:ascii="仿宋_GB2312" w:eastAsia="仿宋_GB2312"/>
          <w:sz w:val="32"/>
          <w:szCs w:val="32"/>
        </w:rPr>
        <w:t>.00</w:t>
      </w:r>
      <w:r>
        <w:rPr>
          <w:rFonts w:hint="eastAsia" w:ascii="仿宋_GB2312" w:eastAsia="仿宋_GB2312"/>
          <w:sz w:val="32"/>
          <w:szCs w:val="32"/>
        </w:rPr>
        <w:t>万元，政府采购服务预算</w:t>
      </w:r>
      <w:r>
        <w:rPr>
          <w:rFonts w:ascii="仿宋_GB2312" w:eastAsia="仿宋_GB2312"/>
          <w:sz w:val="32"/>
          <w:szCs w:val="32"/>
        </w:rPr>
        <w:t>6.8</w:t>
      </w:r>
      <w:r>
        <w:rPr>
          <w:rFonts w:hint="eastAsia" w:ascii="仿宋_GB2312" w:eastAsia="仿宋_GB2312"/>
          <w:sz w:val="32"/>
          <w:szCs w:val="32"/>
        </w:rPr>
        <w:t>1万元。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（二）政府购买服务预算说明</w:t>
      </w:r>
    </w:p>
    <w:p>
      <w:pPr>
        <w:spacing w:line="560" w:lineRule="exact"/>
        <w:ind w:firstLine="640" w:firstLineChars="200"/>
        <w:rPr>
          <w:rFonts w:ascii="仿宋_GB2312" w:eastAsia="仿宋_GB2312"/>
          <w:sz w:val="32"/>
          <w:szCs w:val="32"/>
        </w:rPr>
      </w:pPr>
      <w:r>
        <w:rPr>
          <w:rFonts w:ascii="仿宋_GB2312" w:eastAsia="仿宋_GB2312"/>
          <w:sz w:val="32"/>
          <w:szCs w:val="32"/>
        </w:rPr>
        <w:t>本单位不属于政府购买服务购买主体</w:t>
      </w:r>
      <w:r>
        <w:rPr>
          <w:rFonts w:hint="eastAsia" w:ascii="仿宋_GB2312" w:eastAsia="仿宋_GB2312"/>
          <w:sz w:val="32"/>
          <w:szCs w:val="32"/>
        </w:rPr>
        <w:t>。</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（三）机关运行经费说明</w:t>
      </w:r>
    </w:p>
    <w:p>
      <w:pPr>
        <w:spacing w:line="560" w:lineRule="exact"/>
        <w:ind w:firstLine="640" w:firstLineChars="200"/>
        <w:rPr>
          <w:rFonts w:ascii="仿宋_GB2312" w:eastAsia="仿宋_GB2312"/>
          <w:color w:val="FF0000"/>
          <w:sz w:val="32"/>
          <w:szCs w:val="32"/>
        </w:rPr>
      </w:pPr>
      <w:r>
        <w:rPr>
          <w:rFonts w:hint="eastAsia" w:ascii="仿宋_GB2312" w:eastAsia="仿宋_GB2312"/>
          <w:sz w:val="32"/>
          <w:szCs w:val="32"/>
          <w:lang w:val="en-US" w:eastAsia="zh-CN"/>
        </w:rPr>
        <w:t>本</w:t>
      </w:r>
      <w:r>
        <w:rPr>
          <w:rFonts w:ascii="仿宋_GB2312" w:eastAsia="仿宋_GB2312"/>
          <w:sz w:val="32"/>
          <w:szCs w:val="32"/>
        </w:rPr>
        <w:t>单位不在机关运行经费统计范围之内。</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（四）项目支出绩效目标情况说明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2023年，北京信息科技发展中心填报绩效目标的预算项目2个，占本单位本年预算项目2个的100%。填报绩效目标的项目支出预算</w:t>
      </w:r>
      <w:r>
        <w:rPr>
          <w:rFonts w:ascii="仿宋_GB2312" w:eastAsia="仿宋_GB2312"/>
          <w:sz w:val="32"/>
          <w:szCs w:val="32"/>
        </w:rPr>
        <w:t>381.9</w:t>
      </w:r>
      <w:r>
        <w:rPr>
          <w:rFonts w:hint="eastAsia" w:ascii="仿宋_GB2312" w:eastAsia="仿宋_GB2312"/>
          <w:sz w:val="32"/>
          <w:szCs w:val="32"/>
        </w:rPr>
        <w:t>0万元，占本单位本年项目支出预算的100%</w:t>
      </w:r>
    </w:p>
    <w:p>
      <w:pPr>
        <w:numPr>
          <w:ilvl w:val="0"/>
          <w:numId w:val="1"/>
        </w:numPr>
        <w:spacing w:line="560" w:lineRule="exact"/>
        <w:ind w:firstLine="640" w:firstLineChars="200"/>
        <w:rPr>
          <w:rFonts w:ascii="楷体_GB2312" w:eastAsia="楷体_GB2312"/>
          <w:sz w:val="32"/>
          <w:szCs w:val="32"/>
        </w:rPr>
      </w:pPr>
      <w:r>
        <w:rPr>
          <w:rFonts w:hint="eastAsia" w:ascii="楷体_GB2312" w:eastAsia="楷体_GB2312"/>
          <w:sz w:val="32"/>
          <w:szCs w:val="32"/>
        </w:rPr>
        <w:t>重点行政事业性收费情况说明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本单位2023年无重点行政事业性收费。</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本单位2023</w:t>
      </w:r>
      <w:r>
        <w:rPr>
          <w:rFonts w:hint="eastAsia" w:ascii="仿宋_GB2312" w:eastAsia="仿宋_GB2312"/>
          <w:color w:val="000000"/>
          <w:sz w:val="32"/>
          <w:szCs w:val="32"/>
        </w:rPr>
        <w:t>年无国有资本经营预算财政拨款安排的预算。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w:t>
      </w:r>
      <w:r>
        <w:rPr>
          <w:rFonts w:ascii="仿宋_GB2312" w:eastAsia="仿宋_GB2312"/>
          <w:color w:val="000000"/>
          <w:sz w:val="32"/>
          <w:szCs w:val="32"/>
        </w:rPr>
        <w:t>2</w:t>
      </w:r>
      <w:r>
        <w:rPr>
          <w:rFonts w:hint="eastAsia" w:ascii="仿宋_GB2312" w:eastAsia="仿宋_GB2312"/>
          <w:color w:val="000000"/>
          <w:sz w:val="32"/>
          <w:szCs w:val="32"/>
        </w:rPr>
        <w:t>年底，</w:t>
      </w:r>
      <w:r>
        <w:rPr>
          <w:rFonts w:hint="eastAsia" w:ascii="仿宋_GB2312" w:eastAsia="仿宋_GB2312"/>
          <w:sz w:val="32"/>
          <w:szCs w:val="32"/>
        </w:rPr>
        <w:t>北京信息科技发展中心共有车辆</w:t>
      </w:r>
      <w:r>
        <w:rPr>
          <w:rFonts w:ascii="仿宋_GB2312" w:eastAsia="仿宋_GB2312"/>
          <w:sz w:val="32"/>
          <w:szCs w:val="32"/>
        </w:rPr>
        <w:t>0</w:t>
      </w:r>
      <w:r>
        <w:rPr>
          <w:rFonts w:hint="eastAsia" w:ascii="仿宋_GB2312" w:eastAsia="仿宋_GB2312"/>
          <w:sz w:val="32"/>
          <w:szCs w:val="32"/>
        </w:rPr>
        <w:t>台，</w:t>
      </w:r>
      <w:r>
        <w:rPr>
          <w:rFonts w:hint="eastAsia" w:ascii="仿宋_GB2312" w:eastAsia="仿宋_GB2312"/>
          <w:color w:val="000000"/>
          <w:sz w:val="32"/>
          <w:szCs w:val="32"/>
        </w:rPr>
        <w:t>共计0</w:t>
      </w:r>
      <w:r>
        <w:rPr>
          <w:rFonts w:ascii="仿宋_GB2312" w:eastAsia="仿宋_GB2312"/>
          <w:color w:val="000000"/>
          <w:sz w:val="32"/>
          <w:szCs w:val="32"/>
        </w:rPr>
        <w:t>.00</w:t>
      </w:r>
      <w:r>
        <w:rPr>
          <w:rFonts w:hint="eastAsia" w:ascii="仿宋_GB2312" w:eastAsia="仿宋_GB2312"/>
          <w:color w:val="000000"/>
          <w:sz w:val="32"/>
          <w:szCs w:val="32"/>
        </w:rPr>
        <w:t>万元；单位价值50万元以上的通用设备0台（套），共计0</w:t>
      </w:r>
      <w:r>
        <w:rPr>
          <w:rFonts w:ascii="仿宋_GB2312" w:eastAsia="仿宋_GB2312"/>
          <w:color w:val="000000"/>
          <w:sz w:val="32"/>
          <w:szCs w:val="32"/>
        </w:rPr>
        <w:t>.00</w:t>
      </w:r>
      <w:r>
        <w:rPr>
          <w:rFonts w:hint="eastAsia" w:ascii="仿宋_GB2312" w:eastAsia="仿宋_GB2312"/>
          <w:color w:val="000000"/>
          <w:sz w:val="32"/>
          <w:szCs w:val="32"/>
        </w:rPr>
        <w:t>万元，单位价值100万元以上的专用设备0台（套）、共计0</w:t>
      </w:r>
      <w:r>
        <w:rPr>
          <w:rFonts w:ascii="仿宋_GB2312" w:eastAsia="仿宋_GB2312"/>
          <w:color w:val="000000"/>
          <w:sz w:val="32"/>
          <w:szCs w:val="32"/>
        </w:rPr>
        <w:t>.00</w:t>
      </w:r>
      <w:r>
        <w:rPr>
          <w:rFonts w:hint="eastAsia" w:ascii="仿宋_GB2312" w:eastAsia="仿宋_GB2312"/>
          <w:color w:val="000000"/>
          <w:sz w:val="32"/>
          <w:szCs w:val="32"/>
        </w:rPr>
        <w:t>万元。</w:t>
      </w:r>
    </w:p>
    <w:p>
      <w:pPr>
        <w:numPr>
          <w:ilvl w:val="0"/>
          <w:numId w:val="2"/>
        </w:numPr>
        <w:spacing w:line="560" w:lineRule="exact"/>
        <w:ind w:firstLine="640" w:firstLineChars="200"/>
      </w:pPr>
      <w:r>
        <w:rPr>
          <w:rFonts w:hint="eastAsia" w:ascii="黑体" w:eastAsia="黑体"/>
          <w:color w:val="000000"/>
          <w:sz w:val="32"/>
          <w:szCs w:val="32"/>
        </w:rPr>
        <w:t>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2023年度单位预算报表</w:t>
      </w:r>
    </w:p>
    <w:p>
      <w:pPr>
        <w:autoSpaceDE w:val="0"/>
        <w:autoSpaceDN w:val="0"/>
        <w:adjustRightInd w:val="0"/>
        <w:spacing w:line="560" w:lineRule="exact"/>
        <w:jc w:val="left"/>
        <w:rPr>
          <w:rFonts w:ascii="方正小标宋简体" w:eastAsia="方正小标宋简体"/>
          <w:color w:val="000000"/>
          <w:sz w:val="36"/>
          <w:szCs w:val="36"/>
        </w:rPr>
      </w:pPr>
    </w:p>
    <w:p>
      <w:pPr>
        <w:spacing w:line="560" w:lineRule="exact"/>
        <w:rPr>
          <w:rFonts w:ascii="仿宋_GB2312" w:eastAsia="仿宋_GB2312"/>
          <w:color w:val="000000"/>
          <w:sz w:val="32"/>
          <w:szCs w:val="32"/>
        </w:rPr>
      </w:pPr>
      <w:r>
        <w:rPr>
          <w:rFonts w:hint="eastAsia" w:ascii="仿宋_GB2312" w:eastAsia="仿宋_GB2312"/>
          <w:color w:val="000000"/>
          <w:sz w:val="32"/>
          <w:szCs w:val="32"/>
        </w:rPr>
        <w:t>附件：</w:t>
      </w:r>
      <w:r>
        <w:rPr>
          <w:rFonts w:hint="eastAsia" w:ascii="仿宋_GB2312" w:eastAsia="仿宋_GB2312"/>
          <w:sz w:val="32"/>
          <w:szCs w:val="32"/>
        </w:rPr>
        <w:t>北京信息科技发展中心</w:t>
      </w:r>
      <w:r>
        <w:rPr>
          <w:rFonts w:hint="eastAsia" w:ascii="仿宋_GB2312" w:eastAsia="仿宋_GB2312"/>
          <w:color w:val="000000"/>
          <w:sz w:val="32"/>
          <w:szCs w:val="32"/>
        </w:rPr>
        <w:t>2023年度单位预算报表</w:t>
      </w:r>
      <w:r>
        <w:rPr>
          <w:rFonts w:hint="eastAsia" w:ascii="仿宋_GB2312" w:eastAsia="仿宋_GB2312" w:cs="宋体"/>
          <w:color w:val="000000"/>
          <w:kern w:val="0"/>
          <w:sz w:val="32"/>
          <w:szCs w:val="32"/>
          <w:lang w:val="zh-CN"/>
        </w:rPr>
        <w:t xml:space="preserve"> </w:t>
      </w:r>
    </w:p>
    <w:p>
      <w:pPr>
        <w:spacing w:line="560" w:lineRule="exact"/>
        <w:rPr>
          <w:rFonts w:ascii="仿宋_GB2312" w:eastAsia="仿宋_GB2312"/>
          <w:color w:val="000000"/>
          <w:sz w:val="32"/>
          <w:szCs w:val="32"/>
        </w:rPr>
      </w:pPr>
    </w:p>
    <w:p>
      <w:pPr>
        <w:pStyle w:val="2"/>
        <w:rPr>
          <w:rFonts w:ascii="仿宋_GB2312" w:eastAsia="仿宋_GB2312"/>
          <w:color w:val="000000"/>
          <w:sz w:val="32"/>
        </w:rPr>
      </w:pPr>
    </w:p>
    <w:p>
      <w:pPr>
        <w:rPr>
          <w:rFonts w:ascii="仿宋_GB2312" w:eastAsia="仿宋_GB2312"/>
          <w:color w:val="000000"/>
          <w:sz w:val="32"/>
          <w:szCs w:val="32"/>
        </w:rPr>
      </w:pPr>
    </w:p>
    <w:p>
      <w:pPr>
        <w:pStyle w:val="2"/>
        <w:rPr>
          <w:rFonts w:ascii="仿宋_GB2312" w:eastAsia="仿宋_GB2312"/>
          <w:color w:val="000000"/>
          <w:sz w:val="32"/>
        </w:rPr>
      </w:pPr>
    </w:p>
    <w:p>
      <w:pPr>
        <w:rPr>
          <w:rFonts w:ascii="仿宋_GB2312" w:eastAsia="仿宋_GB2312"/>
          <w:color w:val="000000"/>
          <w:sz w:val="32"/>
          <w:szCs w:val="32"/>
        </w:rPr>
      </w:pPr>
    </w:p>
    <w:p>
      <w:bookmarkStart w:id="0" w:name="chaosong"/>
      <w:bookmarkEnd w:id="0"/>
    </w:p>
    <w:sectPr>
      <w:footerReference r:id="rId3" w:type="default"/>
      <w:pgSz w:w="11906" w:h="16838"/>
      <w:pgMar w:top="1327" w:right="1800" w:bottom="1327"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Droid Sans">
    <w:altName w:val="微软雅黑"/>
    <w:panose1 w:val="00000000000000000000"/>
    <w:charset w:val="00"/>
    <w:family w:val="auto"/>
    <w:pitch w:val="default"/>
    <w:sig w:usb0="00000000" w:usb1="00000000" w:usb2="00000000" w:usb3="00000000" w:csb0="00040001" w:csb1="00000000"/>
  </w:font>
  <w:font w:name="Cambria">
    <w:panose1 w:val="02040503050406030204"/>
    <w:charset w:val="00"/>
    <w:family w:val="roman"/>
    <w:pitch w:val="default"/>
    <w:sig w:usb0="E00006FF" w:usb1="420024FF" w:usb2="02000000" w:usb3="00000000" w:csb0="2000019F" w:csb1="00000000"/>
  </w:font>
  <w:font w:name="Microsoft YaHei UI">
    <w:panose1 w:val="020B0503020204020204"/>
    <w:charset w:val="86"/>
    <w:family w:val="swiss"/>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445135" cy="230505"/>
              <wp:effectExtent l="0" t="0" r="0" b="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wps:spPr>
                    <wps:txbx>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6 -</w:t>
                          </w:r>
                          <w:r>
                            <w:rPr>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8.15pt;width:35.05pt;mso-position-horizontal:outside;mso-position-horizontal-relative:margin;mso-wrap-style:none;z-index:251659264;mso-width-relative:page;mso-height-relative:page;" filled="f" stroked="f" coordsize="21600,21600" o:gfxdata="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m84hJ9EAAAADAQAADwAAAAAAAAABACAAAAAiAAAAZHJz&#10;L2Rvd25yZXYueG1sUEsBAhQAFAAAAAgAh07iQC5LWKwLAgAAAgQAAA4AAAAAAAAAAQAgAAAAIAEA&#10;AGRycy9lMm9Eb2MueG1sUEsFBgAAAAAGAAYAWQEAAJ0FAAAAAA==&#10;">
              <v:fill on="f" focussize="0,0"/>
              <v:stroke on="f"/>
              <v:imagedata o:title=""/>
              <o:lock v:ext="edit" aspectratio="f"/>
              <v:textbox inset="0mm,0mm,0mm,0mm" style="mso-fit-shape-to-text:t;">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6 -</w:t>
                    </w:r>
                    <w:r>
                      <w:rPr>
                        <w:rFonts w:ascii="宋体" w:hAnsi="宋体"/>
                        <w:sz w:val="28"/>
                        <w:szCs w:val="28"/>
                      </w:rPr>
                      <w:fldChar w:fldCharType="end"/>
                    </w:r>
                  </w:p>
                </w:txbxContent>
              </v:textbox>
            </v:shape>
          </w:pict>
        </mc:Fallback>
      </mc:AlternateContent>
    </w:r>
  </w:p>
  <w:p>
    <w:pPr>
      <w:pStyle w:val="5"/>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51F72E"/>
    <w:multiLevelType w:val="singleLevel"/>
    <w:tmpl w:val="6551F72E"/>
    <w:lvl w:ilvl="0" w:tentative="0">
      <w:start w:val="6"/>
      <w:numFmt w:val="chineseCounting"/>
      <w:suff w:val="nothing"/>
      <w:lvlText w:val="%1、"/>
      <w:lvlJc w:val="left"/>
      <w:rPr>
        <w:rFonts w:hint="eastAsia" w:ascii="黑体" w:hAnsi="黑体" w:eastAsia="黑体" w:cs="黑体"/>
        <w:sz w:val="32"/>
        <w:szCs w:val="32"/>
      </w:rPr>
    </w:lvl>
  </w:abstractNum>
  <w:abstractNum w:abstractNumId="1">
    <w:nsid w:val="6E5B2E40"/>
    <w:multiLevelType w:val="singleLevel"/>
    <w:tmpl w:val="6E5B2E40"/>
    <w:lvl w:ilvl="0" w:tentative="0">
      <w:start w:val="5"/>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xZTlhZWY5YzcxZDcyMjNlNTA2YTA3MGU5NWIyMDYifQ=="/>
  </w:docVars>
  <w:rsids>
    <w:rsidRoot w:val="00DA3E64"/>
    <w:rsid w:val="00041FDB"/>
    <w:rsid w:val="00052686"/>
    <w:rsid w:val="00063916"/>
    <w:rsid w:val="00083D1C"/>
    <w:rsid w:val="000A0FC2"/>
    <w:rsid w:val="000B1ACB"/>
    <w:rsid w:val="000E6BB9"/>
    <w:rsid w:val="000F3759"/>
    <w:rsid w:val="0013080A"/>
    <w:rsid w:val="00133BB3"/>
    <w:rsid w:val="001A34AF"/>
    <w:rsid w:val="001D0DB9"/>
    <w:rsid w:val="001F075F"/>
    <w:rsid w:val="0023480A"/>
    <w:rsid w:val="002441CA"/>
    <w:rsid w:val="00264344"/>
    <w:rsid w:val="002B1FD7"/>
    <w:rsid w:val="002C13D0"/>
    <w:rsid w:val="002C3896"/>
    <w:rsid w:val="0032070D"/>
    <w:rsid w:val="00324888"/>
    <w:rsid w:val="00335581"/>
    <w:rsid w:val="003A4A66"/>
    <w:rsid w:val="003C27AA"/>
    <w:rsid w:val="003C5A4A"/>
    <w:rsid w:val="003C7111"/>
    <w:rsid w:val="003D2F89"/>
    <w:rsid w:val="003D65D6"/>
    <w:rsid w:val="003E47A8"/>
    <w:rsid w:val="004013AC"/>
    <w:rsid w:val="004062C2"/>
    <w:rsid w:val="004230FC"/>
    <w:rsid w:val="0044700C"/>
    <w:rsid w:val="00475217"/>
    <w:rsid w:val="00482126"/>
    <w:rsid w:val="004F071A"/>
    <w:rsid w:val="0051339F"/>
    <w:rsid w:val="0055629F"/>
    <w:rsid w:val="00583977"/>
    <w:rsid w:val="0059645D"/>
    <w:rsid w:val="005A270D"/>
    <w:rsid w:val="005C6CAB"/>
    <w:rsid w:val="005D5B97"/>
    <w:rsid w:val="005E4562"/>
    <w:rsid w:val="00601B88"/>
    <w:rsid w:val="00614597"/>
    <w:rsid w:val="006371B0"/>
    <w:rsid w:val="00661817"/>
    <w:rsid w:val="00667012"/>
    <w:rsid w:val="00675A35"/>
    <w:rsid w:val="0069380A"/>
    <w:rsid w:val="00781FD1"/>
    <w:rsid w:val="00786D79"/>
    <w:rsid w:val="00790645"/>
    <w:rsid w:val="007A2627"/>
    <w:rsid w:val="007A6389"/>
    <w:rsid w:val="007B456C"/>
    <w:rsid w:val="007E4375"/>
    <w:rsid w:val="00826ABA"/>
    <w:rsid w:val="00880957"/>
    <w:rsid w:val="00880C71"/>
    <w:rsid w:val="008F6E8A"/>
    <w:rsid w:val="00907973"/>
    <w:rsid w:val="00991F27"/>
    <w:rsid w:val="0099212F"/>
    <w:rsid w:val="009952E9"/>
    <w:rsid w:val="009A55E2"/>
    <w:rsid w:val="009D15AB"/>
    <w:rsid w:val="009D6C86"/>
    <w:rsid w:val="00A36790"/>
    <w:rsid w:val="00A678FF"/>
    <w:rsid w:val="00A713E3"/>
    <w:rsid w:val="00A72CE8"/>
    <w:rsid w:val="00AA0B9A"/>
    <w:rsid w:val="00AB7BC9"/>
    <w:rsid w:val="00AC4F9E"/>
    <w:rsid w:val="00AD4670"/>
    <w:rsid w:val="00AF04BB"/>
    <w:rsid w:val="00B01B1E"/>
    <w:rsid w:val="00B03A94"/>
    <w:rsid w:val="00B72ECC"/>
    <w:rsid w:val="00BF4454"/>
    <w:rsid w:val="00C028F8"/>
    <w:rsid w:val="00C04AEF"/>
    <w:rsid w:val="00C35DC2"/>
    <w:rsid w:val="00C508F8"/>
    <w:rsid w:val="00C57E99"/>
    <w:rsid w:val="00C67EBA"/>
    <w:rsid w:val="00CA6B08"/>
    <w:rsid w:val="00D12A53"/>
    <w:rsid w:val="00D81412"/>
    <w:rsid w:val="00D95F22"/>
    <w:rsid w:val="00DA3E64"/>
    <w:rsid w:val="00E54D7B"/>
    <w:rsid w:val="00EC7404"/>
    <w:rsid w:val="00ED6E00"/>
    <w:rsid w:val="00EE1E4E"/>
    <w:rsid w:val="00EE2CEE"/>
    <w:rsid w:val="00F11117"/>
    <w:rsid w:val="00F528D5"/>
    <w:rsid w:val="00F5451A"/>
    <w:rsid w:val="00F67E00"/>
    <w:rsid w:val="00F82609"/>
    <w:rsid w:val="00FC2395"/>
    <w:rsid w:val="00FC298B"/>
    <w:rsid w:val="00FE43BE"/>
    <w:rsid w:val="00FE4820"/>
    <w:rsid w:val="017A19A1"/>
    <w:rsid w:val="017C2CB3"/>
    <w:rsid w:val="01A00569"/>
    <w:rsid w:val="03B64756"/>
    <w:rsid w:val="042A5AF7"/>
    <w:rsid w:val="04447FB3"/>
    <w:rsid w:val="06EA15F1"/>
    <w:rsid w:val="07CD02C0"/>
    <w:rsid w:val="0B19782D"/>
    <w:rsid w:val="0C2C5114"/>
    <w:rsid w:val="0C7849F9"/>
    <w:rsid w:val="0D3A63F7"/>
    <w:rsid w:val="0E146C48"/>
    <w:rsid w:val="0FE3246F"/>
    <w:rsid w:val="10F36FE9"/>
    <w:rsid w:val="128A4F17"/>
    <w:rsid w:val="14144B0C"/>
    <w:rsid w:val="16EB30C7"/>
    <w:rsid w:val="16F629B9"/>
    <w:rsid w:val="17122D53"/>
    <w:rsid w:val="1731136C"/>
    <w:rsid w:val="19AF6DCC"/>
    <w:rsid w:val="1B0E4180"/>
    <w:rsid w:val="1B8970FB"/>
    <w:rsid w:val="1BC25DF0"/>
    <w:rsid w:val="1E6C3F37"/>
    <w:rsid w:val="1EE52218"/>
    <w:rsid w:val="1F6E507C"/>
    <w:rsid w:val="2074045F"/>
    <w:rsid w:val="234D2B0B"/>
    <w:rsid w:val="26B2369D"/>
    <w:rsid w:val="27332718"/>
    <w:rsid w:val="27BE17EE"/>
    <w:rsid w:val="28DF395A"/>
    <w:rsid w:val="2907142C"/>
    <w:rsid w:val="29A97D58"/>
    <w:rsid w:val="2A252715"/>
    <w:rsid w:val="2A3654DB"/>
    <w:rsid w:val="2A4C2E6E"/>
    <w:rsid w:val="2B024961"/>
    <w:rsid w:val="2BD27A1E"/>
    <w:rsid w:val="2FD86E9B"/>
    <w:rsid w:val="307153DD"/>
    <w:rsid w:val="31401FA3"/>
    <w:rsid w:val="325651B2"/>
    <w:rsid w:val="36154711"/>
    <w:rsid w:val="36CA5C2C"/>
    <w:rsid w:val="37582A72"/>
    <w:rsid w:val="386F4D87"/>
    <w:rsid w:val="3AF818B3"/>
    <w:rsid w:val="3B750EE5"/>
    <w:rsid w:val="3C587DD4"/>
    <w:rsid w:val="42FB6058"/>
    <w:rsid w:val="4314053C"/>
    <w:rsid w:val="43364990"/>
    <w:rsid w:val="478D08F6"/>
    <w:rsid w:val="47E37575"/>
    <w:rsid w:val="49077CB8"/>
    <w:rsid w:val="498D4675"/>
    <w:rsid w:val="4A574BF5"/>
    <w:rsid w:val="4C740363"/>
    <w:rsid w:val="4DA66A4D"/>
    <w:rsid w:val="4E367CEF"/>
    <w:rsid w:val="4E767AA8"/>
    <w:rsid w:val="4EE01C53"/>
    <w:rsid w:val="4F24642B"/>
    <w:rsid w:val="4F383E2F"/>
    <w:rsid w:val="50FB7F6E"/>
    <w:rsid w:val="5209265C"/>
    <w:rsid w:val="55615875"/>
    <w:rsid w:val="55926977"/>
    <w:rsid w:val="57BD5228"/>
    <w:rsid w:val="583D1DD1"/>
    <w:rsid w:val="58415EB1"/>
    <w:rsid w:val="58971F5B"/>
    <w:rsid w:val="59B92E21"/>
    <w:rsid w:val="5A162CF0"/>
    <w:rsid w:val="5A752689"/>
    <w:rsid w:val="5AF84D5B"/>
    <w:rsid w:val="5BE81245"/>
    <w:rsid w:val="5E03083C"/>
    <w:rsid w:val="5E224753"/>
    <w:rsid w:val="5F07071D"/>
    <w:rsid w:val="60E66B0E"/>
    <w:rsid w:val="61611A47"/>
    <w:rsid w:val="61EA10F7"/>
    <w:rsid w:val="62422353"/>
    <w:rsid w:val="637235DB"/>
    <w:rsid w:val="63BC79DF"/>
    <w:rsid w:val="644C132A"/>
    <w:rsid w:val="65406257"/>
    <w:rsid w:val="66AF572C"/>
    <w:rsid w:val="67546BF3"/>
    <w:rsid w:val="68B90674"/>
    <w:rsid w:val="69004F74"/>
    <w:rsid w:val="6F50511D"/>
    <w:rsid w:val="7007308C"/>
    <w:rsid w:val="70EF1F9B"/>
    <w:rsid w:val="718B3E8F"/>
    <w:rsid w:val="72D93BA9"/>
    <w:rsid w:val="72FB2E21"/>
    <w:rsid w:val="75112A0C"/>
    <w:rsid w:val="75DA2F19"/>
    <w:rsid w:val="77B630D8"/>
    <w:rsid w:val="78A74CC3"/>
    <w:rsid w:val="7D0B0AC6"/>
    <w:rsid w:val="7D3375FD"/>
    <w:rsid w:val="7E1837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link w:val="13"/>
    <w:qFormat/>
    <w:uiPriority w:val="0"/>
    <w:pPr>
      <w:keepNext/>
      <w:keepLines/>
      <w:spacing w:before="100" w:beforeAutospacing="1" w:after="100" w:afterAutospacing="1"/>
      <w:outlineLvl w:val="1"/>
    </w:pPr>
    <w:rPr>
      <w:rFonts w:ascii="Cambria" w:hAnsi="Cambria" w:eastAsia="黑体" w:cs="Times New Roman"/>
      <w:b/>
      <w:bCs/>
      <w:kern w:val="0"/>
      <w:sz w:val="36"/>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5"/>
    <w:unhideWhenUsed/>
    <w:qFormat/>
    <w:uiPriority w:val="99"/>
    <w:pPr>
      <w:jc w:val="left"/>
    </w:pPr>
  </w:style>
  <w:style w:type="paragraph" w:styleId="4">
    <w:name w:val="Balloon Text"/>
    <w:basedOn w:val="1"/>
    <w:link w:val="19"/>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6"/>
    <w:semiHidden/>
    <w:unhideWhenUsed/>
    <w:qFormat/>
    <w:uiPriority w:val="99"/>
    <w:rPr>
      <w:b/>
      <w:bCs/>
    </w:rPr>
  </w:style>
  <w:style w:type="character" w:styleId="10">
    <w:name w:val="annotation reference"/>
    <w:basedOn w:val="9"/>
    <w:semiHidden/>
    <w:unhideWhenUsed/>
    <w:qFormat/>
    <w:uiPriority w:val="99"/>
    <w:rPr>
      <w:sz w:val="21"/>
      <w:szCs w:val="21"/>
    </w:rPr>
  </w:style>
  <w:style w:type="character" w:customStyle="1" w:styleId="11">
    <w:name w:val="页眉 Char"/>
    <w:basedOn w:val="9"/>
    <w:link w:val="6"/>
    <w:qFormat/>
    <w:uiPriority w:val="99"/>
    <w:rPr>
      <w:sz w:val="18"/>
      <w:szCs w:val="18"/>
    </w:rPr>
  </w:style>
  <w:style w:type="character" w:customStyle="1" w:styleId="12">
    <w:name w:val="页脚 Char"/>
    <w:basedOn w:val="9"/>
    <w:link w:val="5"/>
    <w:qFormat/>
    <w:uiPriority w:val="99"/>
    <w:rPr>
      <w:sz w:val="18"/>
      <w:szCs w:val="18"/>
    </w:rPr>
  </w:style>
  <w:style w:type="character" w:customStyle="1" w:styleId="13">
    <w:name w:val="标题 2 Char"/>
    <w:basedOn w:val="9"/>
    <w:link w:val="2"/>
    <w:qFormat/>
    <w:uiPriority w:val="0"/>
    <w:rPr>
      <w:rFonts w:ascii="Cambria" w:hAnsi="Cambria" w:eastAsia="黑体" w:cs="Times New Roman"/>
      <w:b/>
      <w:bCs/>
      <w:kern w:val="0"/>
      <w:sz w:val="36"/>
      <w:szCs w:val="32"/>
    </w:rPr>
  </w:style>
  <w:style w:type="paragraph" w:customStyle="1" w:styleId="14">
    <w:name w:val="修订1"/>
    <w:hidden/>
    <w:semiHidden/>
    <w:qFormat/>
    <w:uiPriority w:val="99"/>
    <w:rPr>
      <w:rFonts w:ascii="Times New Roman" w:hAnsi="Times New Roman" w:eastAsia="宋体" w:cs="Droid Sans"/>
      <w:kern w:val="2"/>
      <w:sz w:val="21"/>
      <w:szCs w:val="24"/>
      <w:lang w:val="en-US" w:eastAsia="zh-CN" w:bidi="ar-SA"/>
    </w:rPr>
  </w:style>
  <w:style w:type="character" w:customStyle="1" w:styleId="15">
    <w:name w:val="批注文字 Char"/>
    <w:basedOn w:val="9"/>
    <w:link w:val="3"/>
    <w:qFormat/>
    <w:uiPriority w:val="99"/>
    <w:rPr>
      <w:rFonts w:ascii="Times New Roman" w:hAnsi="Times New Roman" w:eastAsia="宋体" w:cs="Droid Sans"/>
      <w:szCs w:val="24"/>
    </w:rPr>
  </w:style>
  <w:style w:type="character" w:customStyle="1" w:styleId="16">
    <w:name w:val="批注主题 Char"/>
    <w:basedOn w:val="15"/>
    <w:link w:val="7"/>
    <w:semiHidden/>
    <w:qFormat/>
    <w:uiPriority w:val="99"/>
    <w:rPr>
      <w:rFonts w:ascii="Times New Roman" w:hAnsi="Times New Roman" w:eastAsia="宋体" w:cs="Droid Sans"/>
      <w:b/>
      <w:bCs/>
      <w:szCs w:val="24"/>
    </w:rPr>
  </w:style>
  <w:style w:type="paragraph" w:customStyle="1" w:styleId="17">
    <w:name w:val="pf0"/>
    <w:basedOn w:val="1"/>
    <w:qFormat/>
    <w:uiPriority w:val="0"/>
    <w:pPr>
      <w:widowControl/>
      <w:spacing w:before="100" w:beforeAutospacing="1" w:after="100" w:afterAutospacing="1"/>
      <w:jc w:val="left"/>
    </w:pPr>
    <w:rPr>
      <w:rFonts w:ascii="宋体" w:hAnsi="宋体" w:cs="宋体"/>
      <w:kern w:val="0"/>
      <w:sz w:val="24"/>
    </w:rPr>
  </w:style>
  <w:style w:type="character" w:customStyle="1" w:styleId="18">
    <w:name w:val="cf01"/>
    <w:basedOn w:val="9"/>
    <w:qFormat/>
    <w:uiPriority w:val="0"/>
    <w:rPr>
      <w:rFonts w:hint="eastAsia" w:ascii="Microsoft YaHei UI" w:hAnsi="Microsoft YaHei UI" w:eastAsia="Microsoft YaHei UI"/>
      <w:sz w:val="18"/>
      <w:szCs w:val="18"/>
    </w:rPr>
  </w:style>
  <w:style w:type="character" w:customStyle="1" w:styleId="19">
    <w:name w:val="批注框文本 Char"/>
    <w:basedOn w:val="9"/>
    <w:link w:val="4"/>
    <w:semiHidden/>
    <w:qFormat/>
    <w:uiPriority w:val="99"/>
    <w:rPr>
      <w:rFonts w:ascii="Times New Roman" w:hAnsi="Times New Roman" w:eastAsia="宋体" w:cs="Droid Sans"/>
      <w:kern w:val="2"/>
      <w:sz w:val="18"/>
      <w:szCs w:val="18"/>
    </w:rPr>
  </w:style>
  <w:style w:type="paragraph" w:customStyle="1" w:styleId="20">
    <w:name w:val="Revision"/>
    <w:hidden/>
    <w:semiHidden/>
    <w:qFormat/>
    <w:uiPriority w:val="99"/>
    <w:rPr>
      <w:rFonts w:ascii="Times New Roman" w:hAnsi="Times New Roman" w:eastAsia="宋体" w:cs="Droid Sans"/>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pc\Desktop\&#24066;&#31185;&#22996;&#12289;&#20013;&#20851;&#26449;&#31649;&#22996;&#20250;2023&#24180;&#37096;&#38376;&#39044;&#31639;&#20844;&#24320;&#24037;&#20316;&#35201;&#27714;\&#22270;&#2663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pc\Desktop\&#24066;&#31185;&#22996;&#12289;&#20013;&#20851;&#26449;&#31649;&#22996;&#20250;2023&#24180;&#37096;&#38376;&#39044;&#31639;&#20844;&#24320;&#24037;&#20316;&#35201;&#27714;\&#22270;&#2663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explosion val="0"/>
          <c:dPt>
            <c:idx val="0"/>
            <c:bubble3D val="0"/>
          </c:dPt>
          <c:dPt>
            <c:idx val="1"/>
            <c:bubble3D val="0"/>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ext>
            </c:extLst>
          </c:dLbls>
          <c:cat>
            <c:strRef>
              <c:f>Sheet2!$A$1:$A$2</c:f>
              <c:strCache>
                <c:ptCount val="2"/>
                <c:pt idx="0">
                  <c:v>一般公共预算拨款收入</c:v>
                </c:pt>
                <c:pt idx="1">
                  <c:v>上年结转结余</c:v>
                </c:pt>
              </c:strCache>
            </c:strRef>
          </c:cat>
          <c:val>
            <c:numRef>
              <c:f>Sheet2!$B$1:$B$2</c:f>
              <c:numCache>
                <c:formatCode>0.00%</c:formatCode>
                <c:ptCount val="2"/>
                <c:pt idx="0">
                  <c:v>0.8374</c:v>
                </c:pt>
                <c:pt idx="1">
                  <c:v>0.1626</c:v>
                </c:pt>
              </c:numCache>
            </c:numRef>
          </c:val>
        </c:ser>
        <c:dLbls>
          <c:showLegendKey val="0"/>
          <c:showVal val="0"/>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spPr>
    <a:ln w="12700" cap="flat" cmpd="sng" algn="ctr">
      <a:solidFill>
        <a:schemeClr val="bg1">
          <a:lumMod val="85000"/>
        </a:schemeClr>
      </a:solidFill>
      <a:prstDash val="solid"/>
      <a:round/>
    </a:ln>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explosion val="0"/>
          <c:dPt>
            <c:idx val="0"/>
            <c:bubble3D val="0"/>
          </c:dPt>
          <c:dPt>
            <c:idx val="1"/>
            <c:bubble3D val="0"/>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ext>
            </c:extLst>
          </c:dLbls>
          <c:cat>
            <c:strRef>
              <c:f>Sheet1!$B$3:$B$4</c:f>
              <c:strCache>
                <c:ptCount val="2"/>
                <c:pt idx="0">
                  <c:v>基本支出</c:v>
                </c:pt>
                <c:pt idx="1">
                  <c:v>项目支出</c:v>
                </c:pt>
              </c:strCache>
            </c:strRef>
          </c:cat>
          <c:val>
            <c:numRef>
              <c:f>Sheet1!$C$3:$C$4</c:f>
              <c:numCache>
                <c:formatCode>0.00%</c:formatCode>
                <c:ptCount val="2"/>
                <c:pt idx="0">
                  <c:v>0.6958</c:v>
                </c:pt>
                <c:pt idx="1">
                  <c:v>0.3042</c:v>
                </c:pt>
              </c:numCache>
            </c:numRef>
          </c:val>
        </c:ser>
        <c:dLbls>
          <c:showLegendKey val="0"/>
          <c:showVal val="0"/>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spPr>
    <a:ln w="12700" cap="flat" cmpd="sng" algn="ctr">
      <a:solidFill>
        <a:schemeClr val="bg1">
          <a:lumMod val="85000"/>
        </a:schemeClr>
      </a:solidFill>
      <a:prstDash val="solid"/>
      <a:round/>
    </a:ln>
  </c:spPr>
  <c:txPr>
    <a:bodyPr/>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7E009C0-1C08-4CBC-A723-B83BCD839BA0}">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302</Words>
  <Characters>1728</Characters>
  <Lines>14</Lines>
  <Paragraphs>4</Paragraphs>
  <TotalTime>0</TotalTime>
  <ScaleCrop>false</ScaleCrop>
  <LinksUpToDate>false</LinksUpToDate>
  <CharactersWithSpaces>2026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2023-02-20T05:40:00Z</dcterms:created>
  <dc:creator>马 亚文</dc:creator>
  <cp:lastModifiedBy>leo-yao</cp:lastModifiedBy>
  <cp:lastPrinted>2023-02-17T09:48:00Z</cp:lastPrinted>
  <dcterms:modified xsi:type="dcterms:W3CDTF">2023-02-23T02:37:37Z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38539BC381E346DC91E766A7C325308E</vt:lpwstr>
  </property>
</Properties>
</file>