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北京国际科技合作中心（北京港澳台科技合作中心）2023年财政预算信息公开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640" w:firstLineChars="200"/>
        <w:jc w:val="left"/>
        <w:rPr>
          <w:rFonts w:ascii="仿宋_GB2312" w:eastAsia="仿宋_GB2312"/>
          <w:sz w:val="32"/>
          <w:szCs w:val="32"/>
        </w:rPr>
      </w:pPr>
      <w:r>
        <w:rPr>
          <w:rFonts w:hint="eastAsia" w:ascii="仿宋_GB2312" w:eastAsia="仿宋_GB2312"/>
          <w:sz w:val="32"/>
          <w:szCs w:val="32"/>
        </w:rPr>
        <w:t>根据中共北京市委机构编制委员会《关于成立北京技术交易市场的函》</w:t>
      </w:r>
      <w:r>
        <w:rPr>
          <w:rFonts w:hint="eastAsia" w:ascii="仿宋_GB2312" w:eastAsia="仿宋_GB2312"/>
          <w:sz w:val="32"/>
          <w:szCs w:val="32"/>
          <w:lang w:val="en-US" w:eastAsia="zh-CN"/>
        </w:rPr>
        <w:t>(</w:t>
      </w:r>
      <w:r>
        <w:rPr>
          <w:rFonts w:hint="eastAsia" w:ascii="仿宋_GB2312" w:eastAsia="仿宋_GB2312"/>
          <w:sz w:val="32"/>
          <w:szCs w:val="32"/>
        </w:rPr>
        <w:t>京编办事</w:t>
      </w:r>
      <w:r>
        <w:rPr>
          <w:rFonts w:hint="eastAsia" w:ascii="仿宋_GB2312" w:eastAsia="仿宋_GB2312"/>
          <w:sz w:val="32"/>
          <w:szCs w:val="32"/>
          <w:lang w:val="en-US" w:eastAsia="zh-CN"/>
        </w:rPr>
        <w:t>[</w:t>
      </w:r>
      <w:r>
        <w:rPr>
          <w:rFonts w:hint="eastAsia" w:ascii="仿宋_GB2312" w:eastAsia="仿宋_GB2312"/>
          <w:sz w:val="32"/>
          <w:szCs w:val="32"/>
        </w:rPr>
        <w:t>1997</w:t>
      </w:r>
      <w:r>
        <w:rPr>
          <w:rFonts w:hint="eastAsia" w:ascii="仿宋_GB2312" w:eastAsia="仿宋_GB2312"/>
          <w:sz w:val="32"/>
          <w:szCs w:val="32"/>
          <w:lang w:val="en-US" w:eastAsia="zh-CN"/>
        </w:rPr>
        <w:t>]</w:t>
      </w:r>
      <w:r>
        <w:rPr>
          <w:rFonts w:hint="eastAsia" w:ascii="仿宋_GB2312" w:eastAsia="仿宋_GB2312"/>
          <w:sz w:val="32"/>
          <w:szCs w:val="32"/>
        </w:rPr>
        <w:t>18号</w:t>
      </w:r>
      <w:r>
        <w:rPr>
          <w:rFonts w:hint="eastAsia" w:ascii="仿宋_GB2312" w:eastAsia="仿宋_GB2312"/>
          <w:sz w:val="32"/>
          <w:szCs w:val="32"/>
          <w:lang w:val="en-US" w:eastAsia="zh-CN"/>
        </w:rPr>
        <w:t>)</w:t>
      </w:r>
      <w:r>
        <w:rPr>
          <w:rFonts w:hint="eastAsia" w:ascii="仿宋_GB2312" w:eastAsia="仿宋_GB2312"/>
          <w:sz w:val="32"/>
          <w:szCs w:val="32"/>
        </w:rPr>
        <w:t>文件，设立北京技术交易市场，于2002年7月北京技术交易市场变更为北京技术交易促进中心。根据中共北京市委机构编制委员会《关于市科委、中关村管委会所属事业单位改革有关事项的批复》（京编委[2021]66号）文件，将北京技术交易促进中心更名为北京国际科技合作中心（北京港澳台科技合作中心）。主要职责：承担国际及港澳台科技合作有关规划政策研究、重大科技交往、科技合作、技术转移等事务性工作，承担驻海外联络处联络管理、重大科技会议和活动筹办等具体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北京国际科技合作中心（北京港澳台科技合作中心）</w:t>
      </w:r>
      <w:r>
        <w:rPr>
          <w:rFonts w:hint="eastAsia" w:ascii="仿宋_GB2312" w:hAnsi="仿宋" w:eastAsia="仿宋_GB2312"/>
          <w:sz w:val="32"/>
          <w:szCs w:val="32"/>
        </w:rPr>
        <w:t>下设7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综合管理部、创新服务部、带路合作部、国际组织部、欧美合作部、信息活动部和港澳台合作部。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pPr>
      <w:r>
        <w:rPr>
          <w:rFonts w:hint="eastAsia" w:ascii="仿宋_GB2312" w:eastAsia="仿宋_GB2312"/>
          <w:sz w:val="32"/>
          <w:szCs w:val="32"/>
        </w:rPr>
        <w:t>北京国际科技合作中心（北京港澳台科技合作中心）</w:t>
      </w:r>
      <w:r>
        <w:rPr>
          <w:rFonts w:hint="eastAsia" w:ascii="仿宋_GB2312" w:eastAsia="仿宋_GB2312"/>
          <w:color w:val="000000"/>
          <w:sz w:val="32"/>
          <w:szCs w:val="32"/>
        </w:rPr>
        <w:t>事业编制51人，实有人数36人；</w:t>
      </w:r>
      <w:r>
        <w:rPr>
          <w:rFonts w:hint="eastAsia" w:ascii="仿宋_GB2312" w:eastAsia="仿宋_GB2312"/>
          <w:sz w:val="32"/>
          <w:szCs w:val="32"/>
        </w:rPr>
        <w:t>离退休人员</w:t>
      </w:r>
      <w:r>
        <w:rPr>
          <w:rFonts w:hint="eastAsia" w:ascii="仿宋_GB2312" w:eastAsia="仿宋_GB2312"/>
          <w:color w:val="000000"/>
          <w:sz w:val="32"/>
          <w:szCs w:val="32"/>
        </w:rPr>
        <w:t>13</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13</w:t>
      </w:r>
      <w:r>
        <w:rPr>
          <w:rFonts w:ascii="仿宋_GB2312" w:eastAsia="仿宋_GB2312"/>
          <w:sz w:val="32"/>
          <w:szCs w:val="32"/>
        </w:rPr>
        <w:t>人。</w:t>
      </w:r>
    </w:p>
    <w:p>
      <w:pPr>
        <w:numPr>
          <w:ilvl w:val="0"/>
          <w:numId w:val="1"/>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2023年度收入预算2,262.8</w:t>
      </w:r>
      <w:r>
        <w:rPr>
          <w:rFonts w:ascii="仿宋_GB2312" w:eastAsia="仿宋_GB2312"/>
          <w:sz w:val="32"/>
          <w:szCs w:val="32"/>
        </w:rPr>
        <w:t>6</w:t>
      </w:r>
      <w:r>
        <w:rPr>
          <w:rFonts w:hint="eastAsia" w:ascii="仿宋_GB2312" w:eastAsia="仿宋_GB2312"/>
          <w:sz w:val="32"/>
          <w:szCs w:val="32"/>
        </w:rPr>
        <w:t>万元，比2022年年初预算数0.0</w:t>
      </w:r>
      <w:r>
        <w:rPr>
          <w:rFonts w:ascii="仿宋_GB2312" w:eastAsia="仿宋_GB2312"/>
          <w:sz w:val="32"/>
          <w:szCs w:val="32"/>
        </w:rPr>
        <w:t>0</w:t>
      </w:r>
      <w:r>
        <w:rPr>
          <w:rFonts w:hint="eastAsia" w:ascii="仿宋_GB2312" w:eastAsia="仿宋_GB2312"/>
          <w:sz w:val="32"/>
          <w:szCs w:val="32"/>
        </w:rPr>
        <w:t>万元增加2,262.8</w:t>
      </w:r>
      <w:r>
        <w:rPr>
          <w:rFonts w:ascii="仿宋_GB2312" w:eastAsia="仿宋_GB2312"/>
          <w:sz w:val="32"/>
          <w:szCs w:val="32"/>
        </w:rPr>
        <w:t>6</w:t>
      </w:r>
      <w:r>
        <w:rPr>
          <w:rFonts w:hint="eastAsia" w:ascii="仿宋_GB2312" w:eastAsia="仿宋_GB2312"/>
          <w:sz w:val="32"/>
          <w:szCs w:val="32"/>
        </w:rPr>
        <w:t>万元，增长100%。主要原因是事业单位改革后，我单位新纳入2023年部门预算编报范围。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（一）本年财政拨款收入1,807.97万元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1.一般公共预算拨款收入1,807.97万元。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（三）上年结转结余454.90万元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10.上年结转结余454.90万元。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jc w:val="center"/>
      </w:pPr>
      <w:r>
        <w:rPr>
          <w:rFonts w:hint="eastAsia"/>
        </w:rPr>
        <w:drawing>
          <wp:inline distT="0" distB="0" distL="114300" distR="114300">
            <wp:extent cx="4161155" cy="2250440"/>
            <wp:effectExtent l="5080" t="4445" r="5715" b="1206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2"/>
        </w:numPr>
        <w:spacing w:line="560" w:lineRule="exact"/>
        <w:ind w:firstLine="640" w:firstLineChars="200"/>
        <w:rPr>
          <w:rFonts w:ascii="黑体" w:eastAsia="黑体"/>
          <w:sz w:val="32"/>
          <w:szCs w:val="32"/>
        </w:rPr>
      </w:pPr>
      <w:r>
        <w:rPr>
          <w:rFonts w:hint="eastAsia" w:ascii="黑体" w:eastAsia="黑体"/>
          <w:sz w:val="32"/>
          <w:szCs w:val="32"/>
        </w:rPr>
        <w:t>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2023年支出预算2,262.86万元，</w:t>
      </w:r>
      <w:r>
        <w:rPr>
          <w:rFonts w:hint="eastAsia" w:ascii="仿宋_GB2312" w:eastAsia="仿宋_GB2312"/>
          <w:color w:val="000000"/>
          <w:sz w:val="32"/>
          <w:szCs w:val="32"/>
        </w:rPr>
        <w:t>其中，本年支出2,249.78万元，年终结转结余13.08万元。</w:t>
      </w:r>
      <w:r>
        <w:rPr>
          <w:rFonts w:hint="eastAsia" w:ascii="仿宋_GB2312" w:eastAsia="仿宋_GB2312"/>
          <w:sz w:val="32"/>
          <w:szCs w:val="32"/>
        </w:rPr>
        <w:t>比2022年年初预算数0</w:t>
      </w:r>
      <w:r>
        <w:rPr>
          <w:rFonts w:ascii="仿宋_GB2312" w:eastAsia="仿宋_GB2312"/>
          <w:sz w:val="32"/>
          <w:szCs w:val="32"/>
        </w:rPr>
        <w:t>.00</w:t>
      </w:r>
      <w:r>
        <w:rPr>
          <w:rFonts w:hint="eastAsia" w:ascii="仿宋_GB2312" w:eastAsia="仿宋_GB2312"/>
          <w:sz w:val="32"/>
          <w:szCs w:val="32"/>
        </w:rPr>
        <w:t>万元增加2,2</w:t>
      </w:r>
      <w:r>
        <w:rPr>
          <w:rFonts w:hint="eastAsia" w:ascii="仿宋_GB2312" w:eastAsia="仿宋_GB2312"/>
          <w:sz w:val="32"/>
          <w:szCs w:val="32"/>
          <w:lang w:val="en-US" w:eastAsia="zh-CN"/>
        </w:rPr>
        <w:t>62</w:t>
      </w:r>
      <w:r>
        <w:rPr>
          <w:rFonts w:hint="eastAsia" w:ascii="仿宋_GB2312" w:eastAsia="仿宋_GB2312"/>
          <w:sz w:val="32"/>
          <w:szCs w:val="32"/>
        </w:rPr>
        <w:t>.</w:t>
      </w:r>
      <w:r>
        <w:rPr>
          <w:rFonts w:hint="eastAsia" w:ascii="仿宋_GB2312" w:eastAsia="仿宋_GB2312"/>
          <w:sz w:val="32"/>
          <w:szCs w:val="32"/>
          <w:lang w:val="en-US" w:eastAsia="zh-CN"/>
        </w:rPr>
        <w:t>86</w:t>
      </w:r>
      <w:r>
        <w:rPr>
          <w:rFonts w:hint="eastAsia" w:ascii="仿宋_GB2312" w:eastAsia="仿宋_GB2312"/>
          <w:sz w:val="32"/>
          <w:szCs w:val="32"/>
        </w:rPr>
        <w:t>万元，增长100%。主要原因是事业单位改革后，我单位新纳入2023年部门预算编报范围。</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基本支出预算1,383.55万元，占总支出预算61.50%，比2022年年初预算数0.00万元增加1,383.55万元，增长100%。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项目支出预算866.23万元，比2022年年初预算数0.00万元增加866.23万元，增长100%。其中：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pStyle w:val="2"/>
        <w:jc w:val="center"/>
        <w:rPr>
          <w:rFonts w:ascii="仿宋_GB2312" w:eastAsia="仿宋_GB2312"/>
          <w:b w:val="0"/>
          <w:bCs w:val="0"/>
          <w:sz w:val="32"/>
        </w:rPr>
      </w:pPr>
      <w:r>
        <w:rPr>
          <w:rFonts w:hint="eastAsia" w:ascii="仿宋_GB2312" w:eastAsia="仿宋_GB2312"/>
          <w:b w:val="0"/>
          <w:bCs w:val="0"/>
          <w:sz w:val="32"/>
        </w:rPr>
        <w:t>图2：基本支出和项目支出情况</w:t>
      </w:r>
    </w:p>
    <w:p>
      <w:pPr>
        <w:pStyle w:val="2"/>
        <w:jc w:val="center"/>
        <w:rPr>
          <w:rFonts w:ascii="黑体"/>
          <w:sz w:val="32"/>
        </w:rPr>
      </w:pPr>
      <w:r>
        <w:rPr>
          <w:rFonts w:hint="eastAsia"/>
          <w:color w:val="FF0000"/>
          <w:sz w:val="28"/>
          <w:szCs w:val="36"/>
        </w:rPr>
        <w:drawing>
          <wp:inline distT="0" distB="0" distL="114300" distR="114300">
            <wp:extent cx="4187825" cy="2512060"/>
            <wp:effectExtent l="4445" t="4445" r="8255" b="762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hint="eastAsia"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hAnsi="仿宋_GB2312" w:eastAsia="楷体_GB2312" w:cs="仿宋_GB2312"/>
          <w:color w:val="FF0000"/>
        </w:rPr>
      </w:pPr>
      <w:r>
        <w:rPr>
          <w:rFonts w:hint="eastAsia" w:ascii="仿宋_GB2312" w:eastAsia="仿宋_GB2312"/>
          <w:sz w:val="32"/>
          <w:szCs w:val="32"/>
        </w:rPr>
        <w:t>本单位2023年无财政拨款安排的“三公”经费预算。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2023年北京国际科技合作中心（北京港澳台科技合作中心）政府采购预算总额208.60万元，其中：政府采购货物预算11.00万元，政府采购工程预算0.00万元，政府采购服务预算197.60万元。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numPr>
          <w:ilvl w:val="0"/>
          <w:numId w:val="3"/>
        </w:numPr>
        <w:spacing w:line="560" w:lineRule="exact"/>
        <w:ind w:firstLine="640" w:firstLineChars="200"/>
        <w:rPr>
          <w:rFonts w:ascii="楷体_GB2312" w:eastAsia="楷体_GB2312"/>
          <w:sz w:val="32"/>
          <w:szCs w:val="32"/>
        </w:rPr>
      </w:pPr>
      <w:r>
        <w:rPr>
          <w:rFonts w:hint="eastAsia" w:ascii="楷体_GB2312" w:eastAsia="楷体_GB2312"/>
          <w:sz w:val="32"/>
          <w:szCs w:val="32"/>
        </w:rPr>
        <w:t>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2023年，北京国际科技合作中心（北京港澳台科技合作中心）填报绩效目标的预算项目4个，占本单位本年预算项目4个的100%。填报绩效目标的项目支出预算584.82万元，占本单位本年项目支出预算的100%。</w:t>
      </w:r>
    </w:p>
    <w:p>
      <w:pPr>
        <w:numPr>
          <w:ilvl w:val="0"/>
          <w:numId w:val="4"/>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sz w:val="32"/>
          <w:szCs w:val="32"/>
        </w:rPr>
        <w:t>北京国际科技合作中心（北京港澳台科技合作中心）</w:t>
      </w:r>
      <w:r>
        <w:rPr>
          <w:rFonts w:hint="eastAsia" w:ascii="仿宋_GB2312" w:eastAsia="仿宋_GB2312"/>
          <w:color w:val="000000"/>
          <w:sz w:val="32"/>
          <w:szCs w:val="32"/>
        </w:rPr>
        <w:t>共有车辆1台，共计22.56万元；单位价值50万元以上的通用设备0台（套），共计0.00万元，单位价值100万元以上的专用设备0台（套）、共计0.00万元。</w:t>
      </w:r>
    </w:p>
    <w:p>
      <w:pPr>
        <w:spacing w:line="560" w:lineRule="exact"/>
        <w:ind w:firstLine="640" w:firstLineChars="200"/>
        <w:rPr>
          <w:rFonts w:ascii="仿宋_GB2312" w:eastAsia="仿宋_GB2312"/>
          <w:color w:val="FF0000"/>
          <w:sz w:val="32"/>
          <w:szCs w:val="32"/>
        </w:rPr>
      </w:pPr>
      <w:r>
        <w:rPr>
          <w:rFonts w:hint="eastAsia" w:ascii="黑体" w:eastAsia="黑体"/>
          <w:color w:val="000000"/>
          <w:sz w:val="32"/>
          <w:szCs w:val="32"/>
          <w:lang w:val="en-US" w:eastAsia="zh-CN"/>
        </w:rPr>
        <w:t>六、</w:t>
      </w: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420" w:firstLineChars="200"/>
        <w:jc w:val="left"/>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附件：北京国际科技合作中心（北京港澳台科技合作中心）2023年度单位预算报表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pStyle w:val="2"/>
        <w:rPr>
          <w:rFonts w:ascii="仿宋_GB2312" w:eastAsia="仿宋_GB2312"/>
          <w:color w:val="000000"/>
          <w:sz w:val="32"/>
        </w:rPr>
      </w:pPr>
    </w:p>
    <w:p>
      <w:pPr>
        <w:rPr>
          <w:rFonts w:ascii="仿宋_GB2312" w:eastAsia="仿宋_GB2312"/>
          <w:color w:val="000000"/>
          <w:sz w:val="32"/>
          <w:szCs w:val="32"/>
        </w:rPr>
      </w:pPr>
    </w:p>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8255</wp:posOffset>
              </wp:positionH>
              <wp:positionV relativeFrom="paragraph">
                <wp:posOffset>132715</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0.65pt;margin-top:10.45pt;height:18.15pt;width:35.05pt;mso-position-horizontal-relative:margin;mso-wrap-style:none;z-index:251659264;mso-width-relative:page;mso-height-relative:page;" filled="f" stroked="f" coordsize="21600,21600" o:gfxdata="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kg2ts0wAAAAYBAAAPAAAAAAAAAAEAIAAAACIAAABk&#10;cnMvZG93bnJldi54bWxQSwECFAAUAAAACACHTuJALktYrAsCAAACBAAADgAAAAAAAAABACAAAAAi&#10;AQAAZHJzL2Uyb0RvYy54bWxQSwUGAAAAAAYABgBZAQAAnwU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A65E48"/>
    <w:multiLevelType w:val="singleLevel"/>
    <w:tmpl w:val="C7A65E48"/>
    <w:lvl w:ilvl="0" w:tentative="0">
      <w:start w:val="3"/>
      <w:numFmt w:val="chineseCounting"/>
      <w:suff w:val="nothing"/>
      <w:lvlText w:val="%1、"/>
      <w:lvlJc w:val="left"/>
      <w:rPr>
        <w:rFonts w:hint="eastAsia"/>
      </w:rPr>
    </w:lvl>
  </w:abstractNum>
  <w:abstractNum w:abstractNumId="1">
    <w:nsid w:val="CDEAE6EF"/>
    <w:multiLevelType w:val="singleLevel"/>
    <w:tmpl w:val="CDEAE6EF"/>
    <w:lvl w:ilvl="0" w:tentative="0">
      <w:start w:val="2"/>
      <w:numFmt w:val="chineseCounting"/>
      <w:suff w:val="nothing"/>
      <w:lvlText w:val="%1、"/>
      <w:lvlJc w:val="left"/>
      <w:rPr>
        <w:rFonts w:hint="eastAsia"/>
      </w:rPr>
    </w:lvl>
  </w:abstractNum>
  <w:abstractNum w:abstractNumId="2">
    <w:nsid w:val="E40AA27F"/>
    <w:multiLevelType w:val="singleLevel"/>
    <w:tmpl w:val="E40AA27F"/>
    <w:lvl w:ilvl="0" w:tentative="0">
      <w:start w:val="3"/>
      <w:numFmt w:val="chineseCounting"/>
      <w:suff w:val="nothing"/>
      <w:lvlText w:val="（%1）"/>
      <w:lvlJc w:val="left"/>
      <w:rPr>
        <w:rFonts w:hint="eastAsia"/>
      </w:rPr>
    </w:lvl>
  </w:abstractNum>
  <w:abstractNum w:abstractNumId="3">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9230F"/>
    <w:rsid w:val="001F075F"/>
    <w:rsid w:val="0033698C"/>
    <w:rsid w:val="00370110"/>
    <w:rsid w:val="003C4771"/>
    <w:rsid w:val="004062C2"/>
    <w:rsid w:val="004230FC"/>
    <w:rsid w:val="005607FC"/>
    <w:rsid w:val="007A1D5A"/>
    <w:rsid w:val="007B599B"/>
    <w:rsid w:val="00907DE4"/>
    <w:rsid w:val="009D6C86"/>
    <w:rsid w:val="00AA0B9A"/>
    <w:rsid w:val="00AE08EA"/>
    <w:rsid w:val="00BE4757"/>
    <w:rsid w:val="00BF4454"/>
    <w:rsid w:val="00C24118"/>
    <w:rsid w:val="00C262C6"/>
    <w:rsid w:val="00DA3E64"/>
    <w:rsid w:val="00F07FD5"/>
    <w:rsid w:val="00F528D5"/>
    <w:rsid w:val="017A19A1"/>
    <w:rsid w:val="017C2CB3"/>
    <w:rsid w:val="01A00569"/>
    <w:rsid w:val="03C076DD"/>
    <w:rsid w:val="040605CD"/>
    <w:rsid w:val="042A5AF7"/>
    <w:rsid w:val="04447FB3"/>
    <w:rsid w:val="06EA15F1"/>
    <w:rsid w:val="07CD02C0"/>
    <w:rsid w:val="07CF4038"/>
    <w:rsid w:val="083C4A8F"/>
    <w:rsid w:val="08EA5878"/>
    <w:rsid w:val="099F76C5"/>
    <w:rsid w:val="0B19782D"/>
    <w:rsid w:val="0C2C5114"/>
    <w:rsid w:val="0C7849F9"/>
    <w:rsid w:val="0D3A63F7"/>
    <w:rsid w:val="0E146C48"/>
    <w:rsid w:val="0F8F66C0"/>
    <w:rsid w:val="0FE3246F"/>
    <w:rsid w:val="10F36FE9"/>
    <w:rsid w:val="134F0723"/>
    <w:rsid w:val="14144B0C"/>
    <w:rsid w:val="15627DD2"/>
    <w:rsid w:val="16EB30C7"/>
    <w:rsid w:val="16F629B9"/>
    <w:rsid w:val="17122D53"/>
    <w:rsid w:val="1731136C"/>
    <w:rsid w:val="18F56456"/>
    <w:rsid w:val="19AF6DCC"/>
    <w:rsid w:val="1B8970FB"/>
    <w:rsid w:val="1BC25DF0"/>
    <w:rsid w:val="1E6C3F37"/>
    <w:rsid w:val="1EE52218"/>
    <w:rsid w:val="1F1B1D23"/>
    <w:rsid w:val="1F6E507C"/>
    <w:rsid w:val="2074045F"/>
    <w:rsid w:val="215A6C10"/>
    <w:rsid w:val="228B5E6D"/>
    <w:rsid w:val="234D2B0B"/>
    <w:rsid w:val="2513652C"/>
    <w:rsid w:val="27332718"/>
    <w:rsid w:val="279E7233"/>
    <w:rsid w:val="27BE17EE"/>
    <w:rsid w:val="28DF395A"/>
    <w:rsid w:val="2907142C"/>
    <w:rsid w:val="29A97D58"/>
    <w:rsid w:val="2A252715"/>
    <w:rsid w:val="2A3654DB"/>
    <w:rsid w:val="2A4C2E6E"/>
    <w:rsid w:val="2B024961"/>
    <w:rsid w:val="2BD27A1E"/>
    <w:rsid w:val="2C6A1053"/>
    <w:rsid w:val="2F6B5B45"/>
    <w:rsid w:val="2FC67537"/>
    <w:rsid w:val="2FD86E9B"/>
    <w:rsid w:val="307153DD"/>
    <w:rsid w:val="31074009"/>
    <w:rsid w:val="31401FA3"/>
    <w:rsid w:val="344A2B14"/>
    <w:rsid w:val="34C71A6F"/>
    <w:rsid w:val="36154711"/>
    <w:rsid w:val="36CA5C2C"/>
    <w:rsid w:val="37582A72"/>
    <w:rsid w:val="38A83866"/>
    <w:rsid w:val="3AF818B3"/>
    <w:rsid w:val="3B14200B"/>
    <w:rsid w:val="3B750EE5"/>
    <w:rsid w:val="3B9C3C56"/>
    <w:rsid w:val="3C587DD4"/>
    <w:rsid w:val="3D6562C9"/>
    <w:rsid w:val="3E66635B"/>
    <w:rsid w:val="3F8A64BB"/>
    <w:rsid w:val="41831414"/>
    <w:rsid w:val="41BC3C66"/>
    <w:rsid w:val="42FB6058"/>
    <w:rsid w:val="43364990"/>
    <w:rsid w:val="448636F5"/>
    <w:rsid w:val="44A45929"/>
    <w:rsid w:val="44D02BC2"/>
    <w:rsid w:val="478D08F6"/>
    <w:rsid w:val="48714888"/>
    <w:rsid w:val="49077CB8"/>
    <w:rsid w:val="498D4675"/>
    <w:rsid w:val="4A7A7858"/>
    <w:rsid w:val="4C740363"/>
    <w:rsid w:val="4DA66A4D"/>
    <w:rsid w:val="4E367CEF"/>
    <w:rsid w:val="4EE01C53"/>
    <w:rsid w:val="4F24642B"/>
    <w:rsid w:val="4F383E2F"/>
    <w:rsid w:val="50FB7F6E"/>
    <w:rsid w:val="5209265C"/>
    <w:rsid w:val="53C17C6E"/>
    <w:rsid w:val="55926977"/>
    <w:rsid w:val="57BD5228"/>
    <w:rsid w:val="583D1DD1"/>
    <w:rsid w:val="585242DC"/>
    <w:rsid w:val="58971F5B"/>
    <w:rsid w:val="58AE1A1C"/>
    <w:rsid w:val="595E7254"/>
    <w:rsid w:val="59B92E21"/>
    <w:rsid w:val="5A162CF0"/>
    <w:rsid w:val="5A752689"/>
    <w:rsid w:val="5BE81245"/>
    <w:rsid w:val="5D845343"/>
    <w:rsid w:val="5E03083C"/>
    <w:rsid w:val="5E224753"/>
    <w:rsid w:val="5F07071D"/>
    <w:rsid w:val="60E66B0E"/>
    <w:rsid w:val="61611A47"/>
    <w:rsid w:val="61EA10F7"/>
    <w:rsid w:val="62422353"/>
    <w:rsid w:val="637235DB"/>
    <w:rsid w:val="63BC79DF"/>
    <w:rsid w:val="644C132A"/>
    <w:rsid w:val="65406257"/>
    <w:rsid w:val="65D4194C"/>
    <w:rsid w:val="66AF572C"/>
    <w:rsid w:val="67546BF3"/>
    <w:rsid w:val="68B90674"/>
    <w:rsid w:val="68CC0450"/>
    <w:rsid w:val="69004F74"/>
    <w:rsid w:val="69EC5BCA"/>
    <w:rsid w:val="6C8E2897"/>
    <w:rsid w:val="6F50511D"/>
    <w:rsid w:val="7007308C"/>
    <w:rsid w:val="703F3EBA"/>
    <w:rsid w:val="70EF1F9B"/>
    <w:rsid w:val="718B3E8F"/>
    <w:rsid w:val="72D93BA9"/>
    <w:rsid w:val="72FB2E21"/>
    <w:rsid w:val="74806F69"/>
    <w:rsid w:val="75112A0C"/>
    <w:rsid w:val="78A74CC3"/>
    <w:rsid w:val="79EF2D04"/>
    <w:rsid w:val="7D0B0AC6"/>
    <w:rsid w:val="7E183749"/>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Revision"/>
    <w:hidden/>
    <w:semiHidden/>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a:p>
        </c:rich>
      </c:tx>
      <c:layout/>
      <c:overlay val="0"/>
      <c:spPr>
        <a:noFill/>
        <a:ln>
          <a:noFill/>
        </a:ln>
        <a:effectLst/>
      </c:spPr>
    </c:title>
    <c:autoTitleDeleted val="0"/>
    <c:plotArea>
      <c:layout>
        <c:manualLayout>
          <c:layoutTarget val="inner"/>
          <c:xMode val="edge"/>
          <c:yMode val="edge"/>
          <c:x val="0.209369754311003"/>
          <c:y val="0.220654627539503"/>
          <c:w val="0.347169235464673"/>
          <c:h val="0.641930022573363"/>
        </c:manualLayout>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上年结转结余</c:v>
                </c:pt>
              </c:strCache>
            </c:strRef>
          </c:cat>
          <c:val>
            <c:numRef>
              <c:f>Sheet1!$B$2:$B$3</c:f>
              <c:numCache>
                <c:formatCode>0.00%</c:formatCode>
                <c:ptCount val="2"/>
                <c:pt idx="0">
                  <c:v>0.799</c:v>
                </c:pt>
                <c:pt idx="1">
                  <c:v>0.201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01052952846025"/>
          <c:y val="0.191873589164786"/>
          <c:w val="0.268426674805433"/>
          <c:h val="0.46613995485327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7969673995451"/>
          <c:y val="0.141875468867217"/>
          <c:w val="0.414447308567096"/>
          <c:h val="0.68349087271818"/>
        </c:manualLayout>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0.615</c:v>
                </c:pt>
                <c:pt idx="1">
                  <c:v>0.385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layout>
        <c:manualLayout>
          <c:xMode val="edge"/>
          <c:yMode val="edge"/>
          <c:x val="0.625625473843821"/>
          <c:y val="0.289322330582646"/>
          <c:w val="0.240636846095527"/>
          <c:h val="0.34533633408352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7</Pages>
  <Words>1884</Words>
  <Characters>2175</Characters>
  <Lines>16</Lines>
  <Paragraphs>4</Paragraphs>
  <TotalTime>10</TotalTime>
  <ScaleCrop>false</ScaleCrop>
  <LinksUpToDate>false</LinksUpToDate>
  <CharactersWithSpaces>2201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2023-02-22T06:14:53Z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A58F05CC9CB3493AA30012E3C9117EBA</vt:lpwstr>
  </property>
</Properties>
</file>