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bookmarkStart w:id="0" w:name="_GoBack"/>
      <w:bookmarkEnd w:id="0"/>
      <w:r>
        <w:rPr>
          <w:rFonts w:hint="eastAsia" w:ascii="方正小标宋简体" w:eastAsia="方正小标宋简体"/>
          <w:color w:val="000000"/>
          <w:sz w:val="36"/>
          <w:szCs w:val="36"/>
        </w:rPr>
        <w:t>北京市科学技术委员会、中关村科技园区管理委员会综合事务中心2023年财政预算信息公开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根据中共北京市委机构编制委员会《关于市科委、中关村管委会所属事业单位改革有关事项的批复》(京编委[2021</w:t>
      </w:r>
      <w:r>
        <w:rPr>
          <w:rFonts w:ascii="仿宋_GB2312" w:eastAsia="仿宋_GB2312"/>
          <w:sz w:val="32"/>
          <w:szCs w:val="32"/>
        </w:rPr>
        <w:t>]</w:t>
      </w:r>
      <w:r>
        <w:rPr>
          <w:rFonts w:hint="eastAsia" w:ascii="仿宋_GB2312" w:eastAsia="仿宋_GB2312"/>
          <w:sz w:val="32"/>
          <w:szCs w:val="32"/>
        </w:rPr>
        <w:t>66号)，设立北京市科学技术委员会、中关村科技园区管理委员会综合事务中心，其中处级领导职数为1正2副，主要职责：承担机关综合服务、信息公开、电子政务、安全应急、离退休干部服务等事务性工作。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sz w:val="32"/>
          <w:szCs w:val="32"/>
        </w:rPr>
        <w:t>下设8个部门，分别为：综合管理部、政务服务部、电子政务部、信息服务部、安全运维部、档案事务部、政务大厅工作部和老干部服务部。</w:t>
      </w:r>
    </w:p>
    <w:p>
      <w:pPr>
        <w:spacing w:line="560" w:lineRule="exact"/>
        <w:ind w:firstLine="640" w:firstLineChars="200"/>
        <w:rPr>
          <w:rFonts w:ascii="仿宋_GB2312" w:eastAsia="仿宋_GB2312"/>
          <w:color w:val="FF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color w:val="000000"/>
          <w:sz w:val="32"/>
          <w:szCs w:val="32"/>
        </w:rPr>
        <w:t>事业编制44人，实有人数36人；</w:t>
      </w:r>
      <w:r>
        <w:rPr>
          <w:rFonts w:hint="eastAsia" w:ascii="仿宋_GB2312" w:eastAsia="仿宋_GB2312"/>
          <w:sz w:val="32"/>
          <w:szCs w:val="32"/>
        </w:rPr>
        <w:t>离退休人员</w:t>
      </w:r>
      <w:r>
        <w:rPr>
          <w:rFonts w:hint="eastAsia" w:ascii="仿宋_GB2312" w:eastAsia="仿宋_GB2312"/>
          <w:color w:val="000000"/>
          <w:sz w:val="32"/>
          <w:szCs w:val="32"/>
        </w:rPr>
        <w:t>20</w:t>
      </w:r>
      <w:r>
        <w:rPr>
          <w:rFonts w:ascii="仿宋_GB2312" w:eastAsia="仿宋_GB2312"/>
          <w:sz w:val="32"/>
          <w:szCs w:val="32"/>
        </w:rPr>
        <w:t>人，其中：离休</w:t>
      </w:r>
      <w:r>
        <w:rPr>
          <w:rFonts w:hint="eastAsia" w:ascii="仿宋_GB2312" w:eastAsia="仿宋_GB2312"/>
          <w:sz w:val="32"/>
          <w:szCs w:val="32"/>
        </w:rPr>
        <w:t>人员</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rPr>
        <w:t>人员</w:t>
      </w:r>
      <w:r>
        <w:rPr>
          <w:rFonts w:hint="eastAsia" w:ascii="仿宋_GB2312" w:eastAsia="仿宋_GB2312"/>
          <w:color w:val="000000"/>
          <w:sz w:val="32"/>
          <w:szCs w:val="32"/>
        </w:rPr>
        <w:t>20</w:t>
      </w:r>
      <w:r>
        <w:rPr>
          <w:rFonts w:ascii="仿宋_GB2312" w:eastAsia="仿宋_GB2312"/>
          <w:sz w:val="32"/>
          <w:szCs w:val="32"/>
        </w:rPr>
        <w:t>人。</w:t>
      </w:r>
    </w:p>
    <w:p>
      <w:pPr>
        <w:spacing w:line="560" w:lineRule="exact"/>
        <w:ind w:firstLine="640" w:firstLineChars="200"/>
        <w:rPr>
          <w:rFonts w:ascii="黑体" w:eastAsia="黑体"/>
          <w:color w:val="FF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2023年度收入预算6,043.22万元，比2022年年初预算数0.00万元增加6,043.22万元，增长100%。主要原因是事业单位改革后，我单位新纳入2023年部门预算编报范围。 </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5,704.61</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5,704.61</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（三）上年结转结余338.61万元</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10.上年结转结余338.61万元。</w:t>
      </w:r>
    </w:p>
    <w:p>
      <w:pPr>
        <w:pStyle w:val="2"/>
        <w:jc w:val="center"/>
        <w:rPr>
          <w:b w:val="0"/>
          <w:bCs w:val="0"/>
        </w:rPr>
      </w:pPr>
      <w:r>
        <w:rPr>
          <w:rFonts w:hint="eastAsia" w:ascii="仿宋_GB2312" w:eastAsia="仿宋_GB2312"/>
          <w:b w:val="0"/>
          <w:bCs w:val="0"/>
          <w:sz w:val="32"/>
        </w:rPr>
        <w:t>图1：收入预算</w:t>
      </w:r>
    </w:p>
    <w:p>
      <w:pPr>
        <w:pStyle w:val="2"/>
        <w:jc w:val="center"/>
      </w:pPr>
      <w:r>
        <w:drawing>
          <wp:inline distT="0" distB="0" distL="114300" distR="114300">
            <wp:extent cx="4098925" cy="2309495"/>
            <wp:effectExtent l="4445" t="4445" r="11430" b="10160"/>
            <wp:docPr id="9"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2023年支出预算6,043.22万元，比2022年年初预算数0.00万元增加6,043.22万元，增长100%。主要原因是事业单位改革后，我单位新纳入2023年部门预算编报范围。</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基本支出预算1,859.44万元，占总支出预算30.77%，比2022年年初预算数0.00万元增加1,859.44万元，增长100%。</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项目支出预算4,183.78万元，比2022年年初预算数0.00万元增加4,183.78万元，增长100%。其中：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hint="eastAsia" w:ascii="仿宋_GB2312" w:eastAsia="仿宋_GB2312"/>
          <w:sz w:val="32"/>
          <w:szCs w:val="32"/>
        </w:rPr>
      </w:pPr>
      <w:r>
        <w:rPr>
          <w:rFonts w:hint="eastAsia" w:ascii="仿宋_GB2312" w:eastAsia="仿宋_GB2312"/>
          <w:sz w:val="32"/>
          <w:szCs w:val="32"/>
        </w:rPr>
        <w:t>3.对附属单位补助支出0.00万元。</w:t>
      </w:r>
    </w:p>
    <w:p>
      <w:pPr>
        <w:pStyle w:val="2"/>
        <w:ind w:firstLine="642"/>
        <w:jc w:val="center"/>
        <w:rPr>
          <w:b w:val="0"/>
          <w:bCs w:val="0"/>
        </w:rPr>
      </w:pPr>
      <w:r>
        <w:rPr>
          <w:rFonts w:hint="eastAsia" w:ascii="仿宋_GB2312" w:eastAsia="仿宋_GB2312"/>
          <w:b w:val="0"/>
          <w:bCs w:val="0"/>
          <w:sz w:val="32"/>
        </w:rPr>
        <w:t>图2：基本支出和项目支出情况</w:t>
      </w:r>
    </w:p>
    <w:p>
      <w:pPr>
        <w:pStyle w:val="2"/>
        <w:rPr>
          <w:rFonts w:hint="eastAsia"/>
        </w:rPr>
      </w:pPr>
      <w:r>
        <w:drawing>
          <wp:anchor distT="0" distB="0" distL="114300" distR="114300" simplePos="0" relativeHeight="251659264" behindDoc="1" locked="0" layoutInCell="1" allowOverlap="1">
            <wp:simplePos x="0" y="0"/>
            <wp:positionH relativeFrom="margin">
              <wp:posOffset>528320</wp:posOffset>
            </wp:positionH>
            <wp:positionV relativeFrom="paragraph">
              <wp:posOffset>130810</wp:posOffset>
            </wp:positionV>
            <wp:extent cx="4343400" cy="2457450"/>
            <wp:effectExtent l="0" t="0" r="0" b="0"/>
            <wp:wrapTight wrapText="bothSides">
              <wp:wrapPolygon>
                <wp:start x="0" y="0"/>
                <wp:lineTo x="0" y="21433"/>
                <wp:lineTo x="21505" y="21433"/>
                <wp:lineTo x="21505" y="0"/>
                <wp:lineTo x="0" y="0"/>
              </wp:wrapPolygon>
            </wp:wrapTight>
            <wp:docPr id="10"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pStyle w:val="2"/>
        <w:rPr>
          <w:rFonts w:hint="eastAsia" w:ascii="仿宋_GB2312" w:eastAsia="仿宋_GB2312"/>
          <w:sz w:val="32"/>
          <w:szCs w:val="32"/>
        </w:rPr>
      </w:pPr>
    </w:p>
    <w:p/>
    <w:p>
      <w:pPr>
        <w:spacing w:line="560" w:lineRule="exact"/>
        <w:ind w:firstLine="640" w:firstLineChars="200"/>
        <w:rPr>
          <w:rFonts w:hint="eastAsia" w:ascii="黑体" w:eastAsia="黑体"/>
          <w:sz w:val="32"/>
          <w:szCs w:val="32"/>
        </w:rPr>
      </w:pPr>
    </w:p>
    <w:p>
      <w:pPr>
        <w:spacing w:line="560" w:lineRule="exact"/>
        <w:ind w:firstLine="640" w:firstLineChars="200"/>
        <w:rPr>
          <w:rFonts w:hint="eastAsia" w:ascii="黑体" w:eastAsia="黑体"/>
          <w:sz w:val="32"/>
          <w:szCs w:val="32"/>
        </w:rPr>
      </w:pPr>
    </w:p>
    <w:p>
      <w:pPr>
        <w:spacing w:line="560" w:lineRule="exact"/>
        <w:ind w:firstLine="640" w:firstLineChars="200"/>
        <w:rPr>
          <w:rFonts w:hint="eastAsia" w:ascii="黑体" w:eastAsia="黑体"/>
          <w:sz w:val="32"/>
          <w:szCs w:val="32"/>
        </w:rPr>
      </w:pPr>
    </w:p>
    <w:p>
      <w:pPr>
        <w:spacing w:line="560" w:lineRule="exact"/>
        <w:ind w:firstLine="640" w:firstLineChars="200"/>
        <w:rPr>
          <w:rFonts w:hint="eastAsia" w:ascii="黑体" w:eastAsia="黑体"/>
          <w:sz w:val="32"/>
          <w:szCs w:val="32"/>
        </w:rPr>
      </w:pPr>
    </w:p>
    <w:p>
      <w:pPr>
        <w:spacing w:line="560" w:lineRule="exact"/>
        <w:ind w:firstLine="640" w:firstLineChars="200"/>
        <w:rPr>
          <w:rFonts w:ascii="仿宋_GB2312" w:hAnsi="仿宋_GB2312" w:eastAsia="楷体_GB2312" w:cs="仿宋_GB2312"/>
          <w:color w:val="FF0000"/>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sz w:val="32"/>
          <w:szCs w:val="32"/>
        </w:rPr>
        <w:t>因公出国（境）费用、公务接待费、公务用车购置和运行维护费开支单位包括1个所属单位。</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2023年财政拨款“三公”经费预算7.01万元，比2022年财政拨款“三公”经费预算增加7.01万元。其中：</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1.因公出国（境）费用。2023年预算数</w:t>
      </w:r>
      <w:r>
        <w:rPr>
          <w:rFonts w:hint="eastAsia" w:ascii="仿宋_GB2312" w:eastAsia="仿宋_GB2312"/>
          <w:sz w:val="32"/>
          <w:szCs w:val="32"/>
          <w:lang w:val="en-US" w:eastAsia="zh-CN"/>
        </w:rPr>
        <w:t>0.00</w:t>
      </w:r>
      <w:r>
        <w:rPr>
          <w:rFonts w:hint="eastAsia" w:ascii="仿宋_GB2312" w:eastAsia="仿宋_GB2312"/>
          <w:sz w:val="32"/>
          <w:szCs w:val="32"/>
        </w:rPr>
        <w:t>万元，与2022年年初预算数持平</w:t>
      </w:r>
      <w:r>
        <w:rPr>
          <w:rFonts w:hint="eastAsia" w:ascii="仿宋_GB2312" w:eastAsia="仿宋_GB2312"/>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2.公务接待费。2023年预算数0.76万元，比2022年年初预算数0.00万元增加0.76万元，主要原因：事业单位改革后，我单位新纳入2023年部门预算编报范围。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6.25万元，其中，公务用车购置费2023年预算数0.00万元，与2022年年初预算数持平；公务用车运行维护费2023年预算数6.25万元，其中：公务用车燃油2.73万元，公务用车维修1.27万元，公务用车保险1.27万元，其他0.98万元。公务用车运行维护费2023年预算数比2022年年初预算数0.00万元增加6.25万元。主要原因：事业单位改革后，我单位新纳入2023年部门预算编报范围。</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w:t>
      </w: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sz w:val="32"/>
          <w:szCs w:val="32"/>
        </w:rPr>
        <w:t>政府采购预算总额3,512.12万元，其中：政府采购货物预算1.50万元，政府采购工程预算0.00万元，政府采购服务预算3510.62万元。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w:t>
      </w: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sz w:val="32"/>
          <w:szCs w:val="32"/>
        </w:rPr>
        <w:t>填报绩效目标的预算项目7个，占全部预算项目7个的100%。填报绩效目标的项目支出预算3,845.16万元，占本部门全部项目支出预算的100%。</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（七）国有资产占用情况说明</w:t>
      </w:r>
    </w:p>
    <w:p>
      <w:pPr>
        <w:spacing w:line="560" w:lineRule="exact"/>
        <w:ind w:firstLine="640" w:firstLineChars="200"/>
        <w:rPr>
          <w:rFonts w:ascii="仿宋_GB2312" w:hAnsi="仿宋_GB2312" w:eastAsia="仿宋_GB2312" w:cs="仿宋_GB2312"/>
          <w:sz w:val="32"/>
          <w:szCs w:val="40"/>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w:t>
      </w:r>
      <w:r>
        <w:rPr>
          <w:rFonts w:hint="eastAsia" w:ascii="仿宋_GB2312" w:eastAsia="仿宋_GB2312"/>
          <w:color w:val="000000"/>
          <w:sz w:val="32"/>
          <w:szCs w:val="32"/>
          <w:lang w:eastAsia="zh-CN"/>
        </w:rPr>
        <w:t>北京市科学技术委员会、中关村科技园区管理委员会综合事务中心</w:t>
      </w:r>
      <w:r>
        <w:rPr>
          <w:rFonts w:hint="eastAsia" w:ascii="仿宋_GB2312" w:eastAsia="仿宋_GB2312"/>
          <w:color w:val="000000"/>
          <w:sz w:val="32"/>
          <w:szCs w:val="32"/>
        </w:rPr>
        <w:t>共有车辆3台，共计44.09万元；单位价值50万元以上的通用设备0台（套），共计0.00万元，单位价值100万元以上的专用设备0台（套）、共计0.00万元。</w:t>
      </w:r>
    </w:p>
    <w:p>
      <w:pPr>
        <w:numPr>
          <w:ilvl w:val="0"/>
          <w:numId w:val="1"/>
        </w:numPr>
        <w:spacing w:line="560" w:lineRule="exact"/>
        <w:ind w:firstLine="640" w:firstLineChars="200"/>
        <w:rPr>
          <w:rFonts w:ascii="仿宋_GB2312" w:eastAsia="仿宋_GB2312"/>
          <w:sz w:val="32"/>
          <w:szCs w:val="32"/>
        </w:rPr>
      </w:pPr>
      <w:r>
        <w:rPr>
          <w:rFonts w:hint="eastAsia" w:ascii="黑体" w:eastAsia="黑体"/>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pStyle w:val="2"/>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附件：北京市科学技术委员会、中关村科技园区管理委员会综合事务中心2023年度单位预算报表</w:t>
      </w:r>
    </w:p>
    <w:p>
      <w:pPr>
        <w:pStyle w:val="2"/>
        <w:rPr>
          <w:rFonts w:ascii="仿宋_GB2312" w:eastAsia="仿宋_GB2312"/>
          <w:color w:val="000000"/>
          <w:sz w:val="32"/>
        </w:rPr>
      </w:pPr>
    </w:p>
    <w:p>
      <w:pPr>
        <w:rPr>
          <w:rFonts w:ascii="仿宋_GB2312" w:eastAsia="仿宋_GB2312"/>
          <w:color w:val="000000"/>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DA3E64"/>
    <w:rsid w:val="00041FDB"/>
    <w:rsid w:val="00061446"/>
    <w:rsid w:val="00073591"/>
    <w:rsid w:val="00171757"/>
    <w:rsid w:val="001C0EF5"/>
    <w:rsid w:val="001F075F"/>
    <w:rsid w:val="0023770C"/>
    <w:rsid w:val="00237916"/>
    <w:rsid w:val="002D0ABC"/>
    <w:rsid w:val="003C16E0"/>
    <w:rsid w:val="004062C2"/>
    <w:rsid w:val="004230FC"/>
    <w:rsid w:val="00423C6D"/>
    <w:rsid w:val="00596F59"/>
    <w:rsid w:val="008B0E7F"/>
    <w:rsid w:val="009A0928"/>
    <w:rsid w:val="009A3E3E"/>
    <w:rsid w:val="009D6C86"/>
    <w:rsid w:val="009F00F5"/>
    <w:rsid w:val="00A1288A"/>
    <w:rsid w:val="00AA0B9A"/>
    <w:rsid w:val="00B96E79"/>
    <w:rsid w:val="00BB70FB"/>
    <w:rsid w:val="00BF4454"/>
    <w:rsid w:val="00C822E2"/>
    <w:rsid w:val="00CA0922"/>
    <w:rsid w:val="00DA3E64"/>
    <w:rsid w:val="00F16578"/>
    <w:rsid w:val="00F528D5"/>
    <w:rsid w:val="00F97EB6"/>
    <w:rsid w:val="00FC126C"/>
    <w:rsid w:val="017A19A1"/>
    <w:rsid w:val="017C2CB3"/>
    <w:rsid w:val="01A00569"/>
    <w:rsid w:val="02464E0C"/>
    <w:rsid w:val="042A5AF7"/>
    <w:rsid w:val="04447FB3"/>
    <w:rsid w:val="06EA15F1"/>
    <w:rsid w:val="07CD02C0"/>
    <w:rsid w:val="0ABA2D7D"/>
    <w:rsid w:val="0B19782D"/>
    <w:rsid w:val="0C2C5114"/>
    <w:rsid w:val="0C7849F9"/>
    <w:rsid w:val="0CFA1A3F"/>
    <w:rsid w:val="0D3A63F7"/>
    <w:rsid w:val="0DE14245"/>
    <w:rsid w:val="0E146C48"/>
    <w:rsid w:val="0FAA551F"/>
    <w:rsid w:val="0FE3246F"/>
    <w:rsid w:val="10F36FE9"/>
    <w:rsid w:val="14144B0C"/>
    <w:rsid w:val="16EB30C7"/>
    <w:rsid w:val="16F629B9"/>
    <w:rsid w:val="17122D53"/>
    <w:rsid w:val="1731136C"/>
    <w:rsid w:val="184D3DD6"/>
    <w:rsid w:val="19AF6DCC"/>
    <w:rsid w:val="1B8970FB"/>
    <w:rsid w:val="1BC25DF0"/>
    <w:rsid w:val="1E6C3F37"/>
    <w:rsid w:val="1EE52218"/>
    <w:rsid w:val="1F6E507C"/>
    <w:rsid w:val="2074045F"/>
    <w:rsid w:val="20931C4F"/>
    <w:rsid w:val="234D2B0B"/>
    <w:rsid w:val="253524A6"/>
    <w:rsid w:val="27332718"/>
    <w:rsid w:val="27BE17EE"/>
    <w:rsid w:val="28B7276F"/>
    <w:rsid w:val="28DF395A"/>
    <w:rsid w:val="2907142C"/>
    <w:rsid w:val="29A97D58"/>
    <w:rsid w:val="2A252715"/>
    <w:rsid w:val="2A3654DB"/>
    <w:rsid w:val="2A4C2E6E"/>
    <w:rsid w:val="2B024961"/>
    <w:rsid w:val="2BD27A1E"/>
    <w:rsid w:val="2F6D7B0F"/>
    <w:rsid w:val="2FD86E9B"/>
    <w:rsid w:val="307153DD"/>
    <w:rsid w:val="31401FA3"/>
    <w:rsid w:val="314E571E"/>
    <w:rsid w:val="32D94087"/>
    <w:rsid w:val="33251FB9"/>
    <w:rsid w:val="36154711"/>
    <w:rsid w:val="36841277"/>
    <w:rsid w:val="36CA5C2C"/>
    <w:rsid w:val="37582A72"/>
    <w:rsid w:val="3AF818B3"/>
    <w:rsid w:val="3B750EE5"/>
    <w:rsid w:val="3C587DD4"/>
    <w:rsid w:val="3DFA1107"/>
    <w:rsid w:val="3E5315DD"/>
    <w:rsid w:val="42FB6058"/>
    <w:rsid w:val="43364990"/>
    <w:rsid w:val="44366C11"/>
    <w:rsid w:val="44921D2E"/>
    <w:rsid w:val="44BC7116"/>
    <w:rsid w:val="46503FBA"/>
    <w:rsid w:val="478D08F6"/>
    <w:rsid w:val="49077CB8"/>
    <w:rsid w:val="498D4675"/>
    <w:rsid w:val="4B5824F7"/>
    <w:rsid w:val="4C740363"/>
    <w:rsid w:val="4DA66A4D"/>
    <w:rsid w:val="4E367CEF"/>
    <w:rsid w:val="4EE01C53"/>
    <w:rsid w:val="4F24642B"/>
    <w:rsid w:val="4F383E2F"/>
    <w:rsid w:val="50FB7F6E"/>
    <w:rsid w:val="5209265C"/>
    <w:rsid w:val="55926977"/>
    <w:rsid w:val="57BD5228"/>
    <w:rsid w:val="583D1DD1"/>
    <w:rsid w:val="58971F5B"/>
    <w:rsid w:val="59B92E21"/>
    <w:rsid w:val="59D010FB"/>
    <w:rsid w:val="5A162CF0"/>
    <w:rsid w:val="5A752689"/>
    <w:rsid w:val="5BA83AF9"/>
    <w:rsid w:val="5BE81245"/>
    <w:rsid w:val="5DFC191D"/>
    <w:rsid w:val="5E03083C"/>
    <w:rsid w:val="5E224753"/>
    <w:rsid w:val="5F07071D"/>
    <w:rsid w:val="60863A71"/>
    <w:rsid w:val="60E66B0E"/>
    <w:rsid w:val="61611A47"/>
    <w:rsid w:val="61EA10F7"/>
    <w:rsid w:val="62422353"/>
    <w:rsid w:val="624C462A"/>
    <w:rsid w:val="637235DB"/>
    <w:rsid w:val="6394631A"/>
    <w:rsid w:val="63BC79DF"/>
    <w:rsid w:val="64175CC0"/>
    <w:rsid w:val="644C132A"/>
    <w:rsid w:val="65406257"/>
    <w:rsid w:val="66287D10"/>
    <w:rsid w:val="66AF572C"/>
    <w:rsid w:val="67546BF3"/>
    <w:rsid w:val="68B90674"/>
    <w:rsid w:val="69004F74"/>
    <w:rsid w:val="691D11F3"/>
    <w:rsid w:val="6EB67355"/>
    <w:rsid w:val="6F50511D"/>
    <w:rsid w:val="6F6B7429"/>
    <w:rsid w:val="6FFE5F86"/>
    <w:rsid w:val="7007308C"/>
    <w:rsid w:val="70EF1F9B"/>
    <w:rsid w:val="718B3E8F"/>
    <w:rsid w:val="72D93BA9"/>
    <w:rsid w:val="72FB2E21"/>
    <w:rsid w:val="75112A0C"/>
    <w:rsid w:val="770F0450"/>
    <w:rsid w:val="78494CB8"/>
    <w:rsid w:val="78A74CC3"/>
    <w:rsid w:val="7C3D7EA5"/>
    <w:rsid w:val="7C702B07"/>
    <w:rsid w:val="7D0B0AC6"/>
    <w:rsid w:val="7D985ACE"/>
    <w:rsid w:val="7E18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2"/>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2 字符"/>
    <w:basedOn w:val="8"/>
    <w:link w:val="2"/>
    <w:qFormat/>
    <w:uiPriority w:val="0"/>
    <w:rPr>
      <w:rFonts w:ascii="Cambria" w:hAnsi="Cambria" w:eastAsia="黑体" w:cs="Times New Roman"/>
      <w:b/>
      <w:bCs/>
      <w:kern w:val="0"/>
      <w:sz w:val="36"/>
      <w:szCs w:val="32"/>
    </w:rPr>
  </w:style>
  <w:style w:type="paragraph" w:customStyle="1" w:styleId="13">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4">
    <w:name w:val="批注文字 字符"/>
    <w:basedOn w:val="8"/>
    <w:link w:val="3"/>
    <w:qFormat/>
    <w:uiPriority w:val="99"/>
    <w:rPr>
      <w:rFonts w:ascii="Times New Roman" w:hAnsi="Times New Roman" w:eastAsia="宋体" w:cs="Droid Sans"/>
      <w:szCs w:val="24"/>
    </w:rPr>
  </w:style>
  <w:style w:type="character" w:customStyle="1" w:styleId="15">
    <w:name w:val="批注主题 字符"/>
    <w:basedOn w:val="14"/>
    <w:link w:val="6"/>
    <w:semiHidden/>
    <w:qFormat/>
    <w:uiPriority w:val="99"/>
    <w:rPr>
      <w:rFonts w:ascii="Times New Roman" w:hAnsi="Times New Roman" w:eastAsia="宋体" w:cs="Droid Sans"/>
      <w:b/>
      <w:bCs/>
      <w:szCs w:val="24"/>
    </w:rPr>
  </w:style>
  <w:style w:type="paragraph" w:customStyle="1" w:styleId="16">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7">
    <w:name w:val="cf01"/>
    <w:basedOn w:val="8"/>
    <w:qFormat/>
    <w:uiPriority w:val="0"/>
    <w:rPr>
      <w:rFonts w:hint="eastAsia" w:ascii="Microsoft YaHei UI" w:hAnsi="Microsoft YaHei UI" w:eastAsia="Microsoft YaHei UI"/>
      <w:sz w:val="18"/>
      <w:szCs w:val="18"/>
    </w:rPr>
  </w:style>
  <w:style w:type="paragraph" w:customStyle="1" w:styleId="18">
    <w:name w:val="修订2"/>
    <w:hidden/>
    <w:semiHidden/>
    <w:qFormat/>
    <w:uiPriority w:val="99"/>
    <w:rPr>
      <w:rFonts w:ascii="Times New Roman" w:hAnsi="Times New Roman" w:eastAsia="宋体" w:cs="Droid Sans"/>
      <w:kern w:val="2"/>
      <w:sz w:val="21"/>
      <w:szCs w:val="24"/>
      <w:lang w:val="en-US" w:eastAsia="zh-CN" w:bidi="ar-SA"/>
    </w:rPr>
  </w:style>
  <w:style w:type="paragraph" w:customStyle="1" w:styleId="19">
    <w:name w:val="Revision"/>
    <w:hidden/>
    <w:semiHidden/>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94.40</a:t>
                    </a:r>
                    <a:r>
                      <a:rPr lang="en-US" altLang="zh-CN" strike="sngStrike"/>
                      <a:t>%</a:t>
                    </a:r>
                    <a:endParaRPr lang="en-US" altLang="zh-CN" strike="sngStrike"/>
                  </a:p>
                </c:rich>
              </c:tx>
              <c:dLblPos val="bestFit"/>
              <c:showLegendKey val="0"/>
              <c:showVal val="1"/>
              <c:showCatName val="0"/>
              <c:showSerName val="0"/>
              <c:showPercent val="0"/>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5.60%</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[Book1]Sheet1!$J$14:$J$15</c:f>
              <c:strCache>
                <c:ptCount val="2"/>
                <c:pt idx="0">
                  <c:v>一般公共财政拨款收入</c:v>
                </c:pt>
                <c:pt idx="1">
                  <c:v>上年结转结余</c:v>
                </c:pt>
              </c:strCache>
            </c:strRef>
          </c:cat>
          <c:val>
            <c:numRef>
              <c:f>[Book1]Sheet1!$K$14:$K$15</c:f>
              <c:numCache>
                <c:formatCode>General</c:formatCode>
                <c:ptCount val="2"/>
                <c:pt idx="0">
                  <c:v>5704.61</c:v>
                </c:pt>
                <c:pt idx="1">
                  <c:v>338.61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194513888888889"/>
          <c:y val="0.87430555555555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3263888888889"/>
          <c:y val="0.159027777777778"/>
          <c:w val="0.400694444444444"/>
          <c:h val="0.667824074074074"/>
        </c:manualLayout>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939646847091574"/>
                  <c:y val="0.10092576817239"/>
                </c:manualLayout>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30.77%</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69.23%</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[Book1]Sheet1!$J$19:$J$20</c:f>
              <c:strCache>
                <c:ptCount val="2"/>
                <c:pt idx="0">
                  <c:v>基本支出</c:v>
                </c:pt>
                <c:pt idx="1">
                  <c:v>项目支出</c:v>
                </c:pt>
              </c:strCache>
            </c:strRef>
          </c:cat>
          <c:val>
            <c:numRef>
              <c:f>[Book1]Sheet1!$K$19:$K$20</c:f>
              <c:numCache>
                <c:formatCode>#,##0.00</c:formatCode>
                <c:ptCount val="2"/>
                <c:pt idx="0">
                  <c:v>1859.44</c:v>
                </c:pt>
                <c:pt idx="1" c:formatCode="General">
                  <c:v>4183.78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2C820C-FA99-4654-96F6-FD812A43DD38}">
  <ds:schemaRefs/>
</ds:datastoreItem>
</file>

<file path=docProps/app.xml><?xml version="1.0" encoding="utf-8"?>
<Properties xmlns="http://schemas.openxmlformats.org/officeDocument/2006/extended-properties" xmlns:vt="http://schemas.openxmlformats.org/officeDocument/2006/docPropsVTypes">
  <Template>Normal</Template>
  <Pages>1</Pages>
  <Words>395</Words>
  <Characters>2252</Characters>
  <Lines>18</Lines>
  <Paragraphs>5</Paragraphs>
  <TotalTime>0</TotalTime>
  <ScaleCrop>false</ScaleCrop>
  <LinksUpToDate>false</LinksUpToDate>
  <CharactersWithSpaces>2642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2023-02-16T08:37:00Z</dcterms:created>
  <dc:creator>马 亚文</dc:creator>
  <cp:lastModifiedBy>leo-yao</cp:lastModifiedBy>
  <cp:lastPrinted>2023-02-16T07:28:00Z</cp:lastPrinted>
  <dcterms:modified xsi:type="dcterms:W3CDTF">2023-02-22T06:28:19Z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031E1CC426EB441092FB24E8AC7AD563</vt:lpwstr>
  </property>
</Properties>
</file>