
<file path=[Content_Types].xml><?xml version="1.0" encoding="utf-8"?>
<Types xmlns="http://schemas.openxmlformats.org/package/2006/content-types">
  <Default Extension="xml" ContentType="application/xml"/>
  <Default Extension="xlsx" ContentType="application/vnd.openxmlformats-officedocument.spreadsheetml.sheet"/>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ascii="方正小标宋简体" w:eastAsia="方正小标宋简体"/>
          <w:color w:val="000000"/>
          <w:sz w:val="36"/>
          <w:szCs w:val="36"/>
        </w:rPr>
      </w:pPr>
      <w:r>
        <w:rPr>
          <w:rFonts w:hint="eastAsia" w:ascii="方正小标宋简体" w:eastAsia="方正小标宋简体"/>
          <w:color w:val="000000"/>
          <w:sz w:val="36"/>
          <w:szCs w:val="36"/>
        </w:rPr>
        <w:t>北京科技成果转化服务中心</w:t>
      </w:r>
    </w:p>
    <w:p>
      <w:pPr>
        <w:spacing w:line="560" w:lineRule="exact"/>
        <w:jc w:val="center"/>
        <w:rPr>
          <w:rFonts w:ascii="方正小标宋简体" w:eastAsia="方正小标宋简体"/>
          <w:color w:val="000000"/>
          <w:sz w:val="32"/>
          <w:szCs w:val="32"/>
        </w:rPr>
      </w:pPr>
      <w:r>
        <w:rPr>
          <w:rFonts w:hint="eastAsia" w:ascii="方正小标宋简体" w:eastAsia="方正小标宋简体"/>
          <w:color w:val="000000"/>
          <w:sz w:val="36"/>
          <w:szCs w:val="36"/>
        </w:rPr>
        <w:t>2023年财政预算信息公开</w:t>
      </w:r>
    </w:p>
    <w:p>
      <w:pPr>
        <w:spacing w:line="560" w:lineRule="exact"/>
        <w:jc w:val="center"/>
        <w:rPr>
          <w:rFonts w:ascii="方正小标宋简体" w:eastAsia="方正小标宋简体"/>
          <w:color w:val="000000"/>
          <w:sz w:val="32"/>
          <w:szCs w:val="32"/>
        </w:rPr>
      </w:pPr>
      <w:r>
        <w:rPr>
          <w:rFonts w:hint="eastAsia" w:ascii="方正小标宋简体" w:eastAsia="方正小标宋简体"/>
          <w:color w:val="000000"/>
          <w:sz w:val="32"/>
          <w:szCs w:val="32"/>
        </w:rPr>
        <w:t>目   录</w:t>
      </w:r>
    </w:p>
    <w:p>
      <w:pPr>
        <w:spacing w:line="240" w:lineRule="exact"/>
        <w:jc w:val="center"/>
        <w:rPr>
          <w:rFonts w:ascii="方正小标宋简体" w:eastAsia="方正小标宋简体"/>
          <w:color w:val="000000"/>
          <w:sz w:val="32"/>
          <w:szCs w:val="32"/>
        </w:rPr>
      </w:pPr>
    </w:p>
    <w:p>
      <w:pPr>
        <w:spacing w:line="560" w:lineRule="exact"/>
        <w:rPr>
          <w:rFonts w:ascii="黑体" w:hAnsi="黑体" w:eastAsia="黑体" w:cs="黑体"/>
          <w:color w:val="000000"/>
          <w:sz w:val="32"/>
          <w:szCs w:val="32"/>
        </w:rPr>
      </w:pPr>
      <w:r>
        <w:rPr>
          <w:rFonts w:hint="eastAsia" w:ascii="黑体" w:hAnsi="黑体" w:eastAsia="黑体" w:cs="黑体"/>
          <w:color w:val="000000"/>
          <w:sz w:val="32"/>
          <w:szCs w:val="32"/>
        </w:rPr>
        <w:t>第一部分 2023年度单位预算情况说明</w:t>
      </w:r>
    </w:p>
    <w:p>
      <w:pPr>
        <w:spacing w:line="560" w:lineRule="exact"/>
        <w:ind w:firstLine="640" w:firstLineChars="200"/>
        <w:rPr>
          <w:rFonts w:ascii="仿宋_GB2312" w:hAnsi="仿宋_GB2312" w:eastAsia="仿宋_GB2312" w:cs="仿宋_GB2312"/>
          <w:color w:val="000000"/>
          <w:sz w:val="32"/>
          <w:szCs w:val="32"/>
          <w:lang w:val="en"/>
        </w:rPr>
      </w:pPr>
      <w:r>
        <w:rPr>
          <w:rFonts w:hint="eastAsia" w:ascii="仿宋_GB2312" w:hAnsi="仿宋_GB2312" w:eastAsia="仿宋_GB2312" w:cs="仿宋_GB2312"/>
          <w:color w:val="000000"/>
          <w:sz w:val="32"/>
          <w:szCs w:val="32"/>
        </w:rPr>
        <w:t>一、单位情况说明</w:t>
      </w:r>
    </w:p>
    <w:p>
      <w:pPr>
        <w:spacing w:line="56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二、收入预算情况说明</w:t>
      </w:r>
    </w:p>
    <w:p>
      <w:pPr>
        <w:spacing w:line="56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三、支出预算情况说明</w:t>
      </w:r>
    </w:p>
    <w:p>
      <w:pPr>
        <w:spacing w:line="56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四、财政拨款“三公”经费预算情况说明</w:t>
      </w:r>
    </w:p>
    <w:p>
      <w:pPr>
        <w:spacing w:line="56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五、其他情况说明</w:t>
      </w:r>
    </w:p>
    <w:p>
      <w:pPr>
        <w:spacing w:line="56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六、名词解释</w:t>
      </w:r>
    </w:p>
    <w:p>
      <w:pPr>
        <w:spacing w:line="560" w:lineRule="exact"/>
        <w:rPr>
          <w:rFonts w:ascii="黑体" w:hAnsi="黑体" w:eastAsia="黑体" w:cs="黑体"/>
          <w:color w:val="000000"/>
          <w:sz w:val="32"/>
          <w:szCs w:val="32"/>
        </w:rPr>
      </w:pPr>
      <w:r>
        <w:rPr>
          <w:rFonts w:hint="eastAsia" w:ascii="黑体" w:hAnsi="黑体" w:eastAsia="黑体" w:cs="黑体"/>
          <w:color w:val="000000"/>
          <w:sz w:val="32"/>
          <w:szCs w:val="32"/>
        </w:rPr>
        <w:t>第二部分 2023年度单位预算报表</w:t>
      </w:r>
    </w:p>
    <w:p>
      <w:pPr>
        <w:autoSpaceDE w:val="0"/>
        <w:autoSpaceDN w:val="0"/>
        <w:adjustRightInd w:val="0"/>
        <w:spacing w:line="560" w:lineRule="exact"/>
        <w:ind w:firstLine="640" w:firstLineChars="200"/>
        <w:jc w:val="left"/>
        <w:rPr>
          <w:rFonts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一、收支总表</w:t>
      </w:r>
    </w:p>
    <w:p>
      <w:pPr>
        <w:autoSpaceDE w:val="0"/>
        <w:autoSpaceDN w:val="0"/>
        <w:adjustRightInd w:val="0"/>
        <w:spacing w:line="560" w:lineRule="exact"/>
        <w:jc w:val="left"/>
        <w:rPr>
          <w:rFonts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 xml:space="preserve">    二、收入总表    </w:t>
      </w:r>
    </w:p>
    <w:p>
      <w:pPr>
        <w:autoSpaceDE w:val="0"/>
        <w:autoSpaceDN w:val="0"/>
        <w:adjustRightInd w:val="0"/>
        <w:spacing w:line="560" w:lineRule="exact"/>
        <w:ind w:firstLine="640"/>
        <w:jc w:val="left"/>
        <w:rPr>
          <w:rFonts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三、支出总表</w:t>
      </w:r>
    </w:p>
    <w:p>
      <w:pPr>
        <w:autoSpaceDE w:val="0"/>
        <w:autoSpaceDN w:val="0"/>
        <w:adjustRightInd w:val="0"/>
        <w:spacing w:line="560" w:lineRule="exact"/>
        <w:ind w:firstLine="640"/>
        <w:jc w:val="left"/>
        <w:rPr>
          <w:rFonts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四、项目支出表</w:t>
      </w:r>
    </w:p>
    <w:p>
      <w:pPr>
        <w:autoSpaceDE w:val="0"/>
        <w:autoSpaceDN w:val="0"/>
        <w:adjustRightInd w:val="0"/>
        <w:spacing w:line="560" w:lineRule="exact"/>
        <w:ind w:firstLine="640"/>
        <w:jc w:val="left"/>
        <w:rPr>
          <w:rFonts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五、政府采购预算明细表</w:t>
      </w:r>
    </w:p>
    <w:p>
      <w:pPr>
        <w:autoSpaceDE w:val="0"/>
        <w:autoSpaceDN w:val="0"/>
        <w:adjustRightInd w:val="0"/>
        <w:spacing w:line="560" w:lineRule="exact"/>
        <w:ind w:firstLine="640" w:firstLineChars="200"/>
        <w:jc w:val="left"/>
        <w:rPr>
          <w:rFonts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六、财政拨款收支总表</w:t>
      </w:r>
    </w:p>
    <w:p>
      <w:pPr>
        <w:autoSpaceDE w:val="0"/>
        <w:autoSpaceDN w:val="0"/>
        <w:adjustRightInd w:val="0"/>
        <w:spacing w:line="560" w:lineRule="exact"/>
        <w:jc w:val="left"/>
        <w:rPr>
          <w:rFonts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 xml:space="preserve">    七、一般公共预算财政拨款支出表</w:t>
      </w:r>
    </w:p>
    <w:p>
      <w:pPr>
        <w:autoSpaceDE w:val="0"/>
        <w:autoSpaceDN w:val="0"/>
        <w:adjustRightInd w:val="0"/>
        <w:spacing w:line="560" w:lineRule="exact"/>
        <w:jc w:val="left"/>
        <w:rPr>
          <w:rFonts w:ascii="仿宋_GB2312" w:hAnsi="仿宋_GB2312" w:eastAsia="仿宋_GB2312" w:cs="仿宋_GB2312"/>
          <w:color w:val="000000"/>
          <w:spacing w:val="-16"/>
          <w:kern w:val="0"/>
          <w:sz w:val="32"/>
          <w:szCs w:val="32"/>
          <w:lang w:val="zh-CN"/>
        </w:rPr>
      </w:pPr>
      <w:r>
        <w:rPr>
          <w:rFonts w:hint="eastAsia" w:ascii="仿宋_GB2312" w:hAnsi="仿宋_GB2312" w:eastAsia="仿宋_GB2312" w:cs="仿宋_GB2312"/>
          <w:color w:val="000000"/>
          <w:kern w:val="0"/>
          <w:sz w:val="32"/>
          <w:szCs w:val="32"/>
          <w:lang w:val="zh-CN"/>
        </w:rPr>
        <w:t xml:space="preserve">    </w:t>
      </w:r>
      <w:r>
        <w:rPr>
          <w:rFonts w:hint="eastAsia" w:ascii="仿宋_GB2312" w:hAnsi="仿宋_GB2312" w:eastAsia="仿宋_GB2312" w:cs="仿宋_GB2312"/>
          <w:color w:val="000000"/>
          <w:spacing w:val="-16"/>
          <w:kern w:val="0"/>
          <w:sz w:val="32"/>
          <w:szCs w:val="32"/>
          <w:lang w:val="zh-CN"/>
        </w:rPr>
        <w:t>八、一般公共预算财政拨款基本支出表</w:t>
      </w:r>
    </w:p>
    <w:p>
      <w:pPr>
        <w:autoSpaceDE w:val="0"/>
        <w:autoSpaceDN w:val="0"/>
        <w:adjustRightInd w:val="0"/>
        <w:spacing w:line="560" w:lineRule="exact"/>
        <w:ind w:firstLine="640" w:firstLineChars="200"/>
        <w:jc w:val="left"/>
        <w:rPr>
          <w:rFonts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九、政府性基金预算财政拨款支出表</w:t>
      </w:r>
    </w:p>
    <w:p>
      <w:pPr>
        <w:autoSpaceDE w:val="0"/>
        <w:autoSpaceDN w:val="0"/>
        <w:adjustRightInd w:val="0"/>
        <w:spacing w:line="560" w:lineRule="exact"/>
        <w:ind w:firstLine="640" w:firstLineChars="200"/>
        <w:jc w:val="left"/>
        <w:rPr>
          <w:rFonts w:ascii="仿宋_GB2312" w:hAnsi="仿宋_GB2312" w:eastAsia="仿宋_GB2312" w:cs="仿宋_GB2312"/>
          <w:color w:val="000000"/>
          <w:spacing w:val="-16"/>
          <w:kern w:val="0"/>
          <w:sz w:val="32"/>
          <w:szCs w:val="32"/>
          <w:lang w:val="zh-CN"/>
        </w:rPr>
      </w:pPr>
      <w:r>
        <w:rPr>
          <w:rFonts w:hint="eastAsia" w:ascii="仿宋_GB2312" w:hAnsi="仿宋_GB2312" w:eastAsia="仿宋_GB2312" w:cs="仿宋_GB2312"/>
          <w:color w:val="000000"/>
          <w:kern w:val="0"/>
          <w:sz w:val="32"/>
          <w:szCs w:val="32"/>
          <w:lang w:val="zh-CN"/>
        </w:rPr>
        <w:t>十、国有资本经营预算财政拨款支出表</w:t>
      </w:r>
    </w:p>
    <w:p>
      <w:pPr>
        <w:autoSpaceDE w:val="0"/>
        <w:autoSpaceDN w:val="0"/>
        <w:adjustRightInd w:val="0"/>
        <w:spacing w:line="560" w:lineRule="exact"/>
        <w:ind w:firstLine="576" w:firstLineChars="200"/>
        <w:jc w:val="left"/>
        <w:rPr>
          <w:rFonts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spacing w:val="-16"/>
          <w:kern w:val="0"/>
          <w:sz w:val="32"/>
          <w:szCs w:val="32"/>
          <w:lang w:val="zh-CN"/>
        </w:rPr>
        <w:t>十一、财政拨款</w:t>
      </w:r>
      <w:r>
        <w:rPr>
          <w:rFonts w:hint="eastAsia" w:ascii="仿宋_GB2312" w:hAnsi="仿宋_GB2312" w:eastAsia="仿宋_GB2312" w:cs="仿宋_GB2312"/>
          <w:color w:val="000000"/>
          <w:kern w:val="0"/>
          <w:sz w:val="32"/>
          <w:szCs w:val="32"/>
          <w:lang w:val="zh-CN"/>
        </w:rPr>
        <w:t>“三公”经费支出表</w:t>
      </w:r>
    </w:p>
    <w:p>
      <w:pPr>
        <w:autoSpaceDE w:val="0"/>
        <w:autoSpaceDN w:val="0"/>
        <w:adjustRightInd w:val="0"/>
        <w:spacing w:line="560" w:lineRule="exact"/>
        <w:ind w:firstLine="568" w:firstLineChars="200"/>
        <w:jc w:val="left"/>
        <w:rPr>
          <w:rFonts w:ascii="仿宋_GB2312" w:hAnsi="仿宋_GB2312" w:eastAsia="仿宋_GB2312" w:cs="仿宋_GB2312"/>
          <w:color w:val="000000"/>
          <w:spacing w:val="-18"/>
          <w:kern w:val="0"/>
          <w:sz w:val="32"/>
          <w:szCs w:val="32"/>
          <w:lang w:val="zh-CN"/>
        </w:rPr>
      </w:pPr>
      <w:r>
        <w:rPr>
          <w:rFonts w:hint="eastAsia" w:ascii="仿宋_GB2312" w:hAnsi="仿宋_GB2312" w:eastAsia="仿宋_GB2312" w:cs="仿宋_GB2312"/>
          <w:color w:val="000000"/>
          <w:spacing w:val="-18"/>
          <w:kern w:val="0"/>
          <w:sz w:val="32"/>
          <w:szCs w:val="32"/>
          <w:lang w:val="zh-CN"/>
        </w:rPr>
        <w:t>十二、政府购买服务预算财政拨款明细表</w:t>
      </w:r>
    </w:p>
    <w:p>
      <w:pPr>
        <w:autoSpaceDE w:val="0"/>
        <w:autoSpaceDN w:val="0"/>
        <w:adjustRightInd w:val="0"/>
        <w:spacing w:line="560" w:lineRule="exact"/>
        <w:ind w:firstLine="568" w:firstLineChars="200"/>
        <w:jc w:val="left"/>
        <w:rPr>
          <w:rFonts w:ascii="仿宋_GB2312" w:hAnsi="仿宋_GB2312" w:eastAsia="仿宋_GB2312" w:cs="仿宋_GB2312"/>
          <w:color w:val="000000"/>
          <w:spacing w:val="-18"/>
          <w:kern w:val="0"/>
          <w:sz w:val="32"/>
          <w:szCs w:val="32"/>
          <w:lang w:val="zh-CN"/>
        </w:rPr>
      </w:pPr>
      <w:r>
        <w:rPr>
          <w:rFonts w:hint="eastAsia" w:ascii="仿宋_GB2312" w:hAnsi="仿宋_GB2312" w:eastAsia="仿宋_GB2312" w:cs="仿宋_GB2312"/>
          <w:color w:val="000000"/>
          <w:spacing w:val="-18"/>
          <w:kern w:val="0"/>
          <w:sz w:val="32"/>
          <w:szCs w:val="32"/>
          <w:lang w:val="zh-CN"/>
        </w:rPr>
        <w:t>十三、项目支出绩效目标表</w:t>
      </w:r>
    </w:p>
    <w:p>
      <w:pPr>
        <w:spacing w:line="560" w:lineRule="exact"/>
        <w:jc w:val="center"/>
        <w:rPr>
          <w:rFonts w:ascii="方正小标宋简体" w:eastAsia="方正小标宋简体"/>
          <w:color w:val="000000"/>
          <w:sz w:val="32"/>
          <w:szCs w:val="32"/>
        </w:rPr>
      </w:pPr>
      <w:r>
        <w:rPr>
          <w:rFonts w:hint="eastAsia" w:ascii="方正小标宋简体" w:eastAsia="方正小标宋简体"/>
          <w:color w:val="000000"/>
          <w:sz w:val="36"/>
          <w:szCs w:val="36"/>
        </w:rPr>
        <w:t>第一部分  2023年度单位预算情况说明</w:t>
      </w:r>
    </w:p>
    <w:p>
      <w:pPr>
        <w:spacing w:line="360" w:lineRule="auto"/>
        <w:rPr>
          <w:rFonts w:ascii="仿宋_GB2312" w:eastAsia="仿宋_GB2312"/>
          <w:color w:val="000000"/>
          <w:sz w:val="32"/>
          <w:szCs w:val="32"/>
        </w:rPr>
      </w:pPr>
    </w:p>
    <w:p>
      <w:pPr>
        <w:spacing w:line="560" w:lineRule="exact"/>
        <w:ind w:firstLine="640" w:firstLineChars="200"/>
        <w:rPr>
          <w:rFonts w:ascii="黑体" w:eastAsia="黑体"/>
          <w:color w:val="000000"/>
          <w:sz w:val="32"/>
          <w:szCs w:val="32"/>
        </w:rPr>
      </w:pPr>
      <w:r>
        <w:rPr>
          <w:rFonts w:hint="eastAsia" w:ascii="黑体" w:eastAsia="黑体"/>
          <w:color w:val="000000"/>
          <w:sz w:val="32"/>
          <w:szCs w:val="32"/>
        </w:rPr>
        <w:t>一、单位情况说明</w:t>
      </w:r>
    </w:p>
    <w:p>
      <w:pPr>
        <w:spacing w:line="560" w:lineRule="exact"/>
        <w:ind w:firstLine="640" w:firstLineChars="200"/>
        <w:rPr>
          <w:rFonts w:ascii="楷体_GB2312" w:eastAsia="楷体_GB2312"/>
          <w:color w:val="000000"/>
          <w:sz w:val="32"/>
          <w:szCs w:val="32"/>
        </w:rPr>
      </w:pPr>
      <w:r>
        <w:rPr>
          <w:rFonts w:hint="eastAsia" w:ascii="楷体_GB2312" w:eastAsia="楷体_GB2312"/>
          <w:color w:val="000000"/>
          <w:sz w:val="32"/>
          <w:szCs w:val="32"/>
        </w:rPr>
        <w:t>（一）本单位性质、职责等情况</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根据中共北京市委机构编制委员会《关于市科委、中关村管委会所属事业单位改革有关事项的批复》（京编委[2021]66号）文件，设立北京科技成果转化服务中心。主要职责：承担科技成果转化相关政策研究、成果转化服务平台建设等事务性工作，承担科技成果汇聚、信息共享、供需对接等服务性工作。</w:t>
      </w:r>
    </w:p>
    <w:p>
      <w:pPr>
        <w:spacing w:line="560" w:lineRule="exact"/>
        <w:ind w:firstLine="640" w:firstLineChars="200"/>
        <w:rPr>
          <w:rFonts w:ascii="楷体_GB2312" w:eastAsia="楷体_GB2312"/>
          <w:color w:val="000000"/>
          <w:sz w:val="32"/>
          <w:szCs w:val="32"/>
        </w:rPr>
      </w:pPr>
      <w:r>
        <w:rPr>
          <w:rFonts w:hint="eastAsia" w:ascii="楷体_GB2312" w:eastAsia="楷体_GB2312"/>
          <w:color w:val="000000"/>
          <w:sz w:val="32"/>
          <w:szCs w:val="32"/>
        </w:rPr>
        <w:t>（二）机构设置情况</w:t>
      </w:r>
    </w:p>
    <w:p>
      <w:pPr>
        <w:snapToGrid w:val="0"/>
        <w:spacing w:line="520" w:lineRule="exact"/>
        <w:ind w:firstLine="640" w:firstLineChars="200"/>
        <w:rPr>
          <w:rFonts w:ascii="仿宋_GB2312" w:hAnsi="仿宋" w:eastAsia="仿宋_GB2312"/>
          <w:sz w:val="32"/>
          <w:szCs w:val="32"/>
        </w:rPr>
      </w:pPr>
      <w:r>
        <w:rPr>
          <w:rFonts w:hint="eastAsia" w:ascii="仿宋_GB2312" w:eastAsia="仿宋_GB2312"/>
          <w:sz w:val="32"/>
          <w:szCs w:val="32"/>
        </w:rPr>
        <w:t>北京科技成果转化服务中心</w:t>
      </w:r>
      <w:r>
        <w:rPr>
          <w:rFonts w:hint="eastAsia" w:ascii="仿宋_GB2312" w:hAnsi="仿宋" w:eastAsia="仿宋_GB2312"/>
          <w:sz w:val="32"/>
          <w:szCs w:val="32"/>
        </w:rPr>
        <w:t>下设6</w:t>
      </w:r>
      <w:r>
        <w:rPr>
          <w:rFonts w:ascii="仿宋_GB2312" w:hAnsi="仿宋" w:eastAsia="仿宋_GB2312"/>
          <w:sz w:val="32"/>
          <w:szCs w:val="32"/>
        </w:rPr>
        <w:t>个</w:t>
      </w:r>
      <w:r>
        <w:rPr>
          <w:rFonts w:hint="eastAsia" w:ascii="仿宋_GB2312" w:hAnsi="仿宋" w:eastAsia="仿宋_GB2312"/>
          <w:sz w:val="32"/>
          <w:szCs w:val="32"/>
        </w:rPr>
        <w:t>部门，</w:t>
      </w:r>
      <w:r>
        <w:rPr>
          <w:rFonts w:ascii="仿宋_GB2312" w:hAnsi="仿宋" w:eastAsia="仿宋_GB2312"/>
          <w:sz w:val="32"/>
          <w:szCs w:val="32"/>
        </w:rPr>
        <w:t>分别是</w:t>
      </w:r>
      <w:r>
        <w:rPr>
          <w:rFonts w:hint="eastAsia" w:ascii="仿宋_GB2312" w:hAnsi="仿宋" w:eastAsia="仿宋_GB2312"/>
          <w:sz w:val="32"/>
          <w:szCs w:val="32"/>
        </w:rPr>
        <w:t>综合管理部、综合协调部、转化服务部、交流合作部、转化人才部和分析评价部。</w:t>
      </w:r>
    </w:p>
    <w:p>
      <w:pPr>
        <w:spacing w:line="560" w:lineRule="exact"/>
        <w:ind w:firstLine="640" w:firstLineChars="200"/>
        <w:rPr>
          <w:rFonts w:ascii="楷体_GB2312" w:eastAsia="楷体_GB2312"/>
          <w:color w:val="000000"/>
          <w:sz w:val="32"/>
          <w:szCs w:val="32"/>
        </w:rPr>
      </w:pPr>
      <w:r>
        <w:rPr>
          <w:rFonts w:hint="eastAsia" w:ascii="楷体_GB2312" w:eastAsia="楷体_GB2312"/>
          <w:color w:val="000000"/>
          <w:sz w:val="32"/>
          <w:szCs w:val="32"/>
        </w:rPr>
        <w:t>（三）人员编制及实有情况</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北京科技成果转化服务中心事业编制41人，实有人数36人；</w:t>
      </w:r>
      <w:r>
        <w:rPr>
          <w:rFonts w:hint="eastAsia" w:ascii="仿宋_GB2312" w:eastAsia="仿宋_GB2312"/>
          <w:sz w:val="32"/>
          <w:szCs w:val="32"/>
        </w:rPr>
        <w:t>离退休人员</w:t>
      </w:r>
      <w:r>
        <w:rPr>
          <w:rFonts w:hint="eastAsia" w:ascii="仿宋_GB2312" w:eastAsia="仿宋_GB2312"/>
          <w:color w:val="000000"/>
          <w:sz w:val="32"/>
          <w:szCs w:val="32"/>
        </w:rPr>
        <w:t>10</w:t>
      </w:r>
      <w:r>
        <w:rPr>
          <w:rFonts w:ascii="仿宋_GB2312" w:eastAsia="仿宋_GB2312"/>
          <w:sz w:val="32"/>
          <w:szCs w:val="32"/>
        </w:rPr>
        <w:t>人，其中：离休</w:t>
      </w:r>
      <w:r>
        <w:rPr>
          <w:rFonts w:hint="eastAsia" w:ascii="仿宋_GB2312" w:eastAsia="仿宋_GB2312"/>
          <w:sz w:val="32"/>
          <w:szCs w:val="32"/>
        </w:rPr>
        <w:t>人员</w:t>
      </w:r>
      <w:r>
        <w:rPr>
          <w:rFonts w:hint="eastAsia" w:ascii="仿宋_GB2312" w:eastAsia="仿宋_GB2312"/>
          <w:color w:val="000000"/>
          <w:sz w:val="32"/>
          <w:szCs w:val="32"/>
        </w:rPr>
        <w:t>0</w:t>
      </w:r>
      <w:r>
        <w:rPr>
          <w:rFonts w:ascii="仿宋_GB2312" w:eastAsia="仿宋_GB2312"/>
          <w:sz w:val="32"/>
          <w:szCs w:val="32"/>
        </w:rPr>
        <w:t>人，退休</w:t>
      </w:r>
      <w:r>
        <w:rPr>
          <w:rFonts w:hint="eastAsia" w:ascii="仿宋_GB2312" w:eastAsia="仿宋_GB2312"/>
          <w:sz w:val="32"/>
          <w:szCs w:val="32"/>
        </w:rPr>
        <w:t>人员</w:t>
      </w:r>
      <w:r>
        <w:rPr>
          <w:rFonts w:hint="eastAsia" w:ascii="仿宋_GB2312" w:eastAsia="仿宋_GB2312"/>
          <w:color w:val="000000"/>
          <w:sz w:val="32"/>
          <w:szCs w:val="32"/>
        </w:rPr>
        <w:t>10</w:t>
      </w:r>
      <w:r>
        <w:rPr>
          <w:rFonts w:ascii="仿宋_GB2312" w:eastAsia="仿宋_GB2312"/>
          <w:sz w:val="32"/>
          <w:szCs w:val="32"/>
        </w:rPr>
        <w:t>人。</w:t>
      </w:r>
    </w:p>
    <w:p>
      <w:pPr>
        <w:spacing w:line="560" w:lineRule="exact"/>
        <w:ind w:firstLine="640" w:firstLineChars="200"/>
        <w:rPr>
          <w:rFonts w:ascii="黑体" w:eastAsia="黑体"/>
          <w:color w:val="FF0000"/>
          <w:sz w:val="32"/>
          <w:szCs w:val="32"/>
        </w:rPr>
      </w:pPr>
      <w:r>
        <w:rPr>
          <w:rFonts w:hint="eastAsia" w:ascii="黑体" w:eastAsia="黑体"/>
          <w:color w:val="000000"/>
          <w:sz w:val="32"/>
          <w:szCs w:val="32"/>
        </w:rPr>
        <w:t>二、收入预算情况说明</w:t>
      </w:r>
    </w:p>
    <w:p>
      <w:pPr>
        <w:ind w:firstLine="640" w:firstLineChars="200"/>
        <w:rPr>
          <w:rFonts w:ascii="仿宋_GB2312" w:hAnsi="仿宋_GB2312" w:eastAsia="仿宋_GB2312" w:cs="仿宋_GB2312"/>
          <w:sz w:val="32"/>
        </w:rPr>
      </w:pPr>
      <w:r>
        <w:rPr>
          <w:rFonts w:hint="eastAsia" w:ascii="仿宋_GB2312" w:eastAsia="仿宋_GB2312"/>
          <w:sz w:val="32"/>
          <w:szCs w:val="32"/>
        </w:rPr>
        <w:t>2023年度收入预算2,104.12万元，比2022年年初预算数0.00万元增加</w:t>
      </w:r>
      <w:r>
        <w:rPr>
          <w:rFonts w:ascii="仿宋_GB2312" w:eastAsia="仿宋_GB2312"/>
          <w:sz w:val="32"/>
          <w:szCs w:val="32"/>
        </w:rPr>
        <w:t>2</w:t>
      </w:r>
      <w:r>
        <w:rPr>
          <w:rFonts w:hint="eastAsia" w:ascii="仿宋_GB2312" w:eastAsia="仿宋_GB2312"/>
          <w:sz w:val="32"/>
          <w:szCs w:val="32"/>
        </w:rPr>
        <w:t>,</w:t>
      </w:r>
      <w:r>
        <w:rPr>
          <w:rFonts w:ascii="仿宋_GB2312" w:eastAsia="仿宋_GB2312"/>
          <w:sz w:val="32"/>
          <w:szCs w:val="32"/>
        </w:rPr>
        <w:t>104.12</w:t>
      </w:r>
      <w:r>
        <w:rPr>
          <w:rFonts w:hint="eastAsia" w:ascii="仿宋_GB2312" w:eastAsia="仿宋_GB2312"/>
          <w:sz w:val="32"/>
          <w:szCs w:val="32"/>
        </w:rPr>
        <w:t>万元，增长100%。主要原因是事业单位改革后，北京科技成果转化服务中心为新设立单位，新纳入</w:t>
      </w:r>
      <w:r>
        <w:rPr>
          <w:rFonts w:ascii="仿宋_GB2312" w:eastAsia="仿宋_GB2312"/>
          <w:sz w:val="32"/>
          <w:szCs w:val="32"/>
        </w:rPr>
        <w:t>2023年部门预算编报范围。</w:t>
      </w:r>
    </w:p>
    <w:p>
      <w:pPr>
        <w:spacing w:line="560" w:lineRule="exact"/>
        <w:ind w:firstLine="640" w:firstLineChars="200"/>
        <w:rPr>
          <w:rFonts w:ascii="楷体_GB2312" w:eastAsia="楷体_GB2312"/>
          <w:sz w:val="32"/>
          <w:szCs w:val="32"/>
        </w:rPr>
      </w:pPr>
      <w:r>
        <w:rPr>
          <w:rFonts w:hint="eastAsia" w:ascii="楷体_GB2312" w:eastAsia="楷体_GB2312"/>
          <w:sz w:val="32"/>
          <w:szCs w:val="32"/>
        </w:rPr>
        <w:t>（一）本年财政拨款收入</w:t>
      </w:r>
      <w:r>
        <w:rPr>
          <w:rFonts w:ascii="楷体_GB2312" w:eastAsia="楷体_GB2312"/>
          <w:sz w:val="32"/>
          <w:szCs w:val="32"/>
        </w:rPr>
        <w:t>1,95</w:t>
      </w:r>
      <w:r>
        <w:rPr>
          <w:rFonts w:hint="eastAsia" w:ascii="楷体_GB2312" w:eastAsia="楷体_GB2312"/>
          <w:sz w:val="32"/>
          <w:szCs w:val="32"/>
        </w:rPr>
        <w:t>1</w:t>
      </w:r>
      <w:r>
        <w:rPr>
          <w:rFonts w:ascii="楷体_GB2312" w:eastAsia="楷体_GB2312"/>
          <w:sz w:val="32"/>
          <w:szCs w:val="32"/>
        </w:rPr>
        <w:t>.11</w:t>
      </w:r>
      <w:r>
        <w:rPr>
          <w:rFonts w:hint="eastAsia" w:ascii="楷体_GB2312" w:eastAsia="楷体_GB2312"/>
          <w:sz w:val="32"/>
          <w:szCs w:val="32"/>
        </w:rPr>
        <w:t>万元</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1.一般公共预算拨款收入</w:t>
      </w:r>
      <w:r>
        <w:rPr>
          <w:rFonts w:ascii="仿宋_GB2312" w:eastAsia="仿宋_GB2312"/>
          <w:sz w:val="32"/>
          <w:szCs w:val="32"/>
        </w:rPr>
        <w:t>1,95</w:t>
      </w:r>
      <w:r>
        <w:rPr>
          <w:rFonts w:hint="eastAsia" w:ascii="仿宋_GB2312" w:eastAsia="仿宋_GB2312"/>
          <w:sz w:val="32"/>
          <w:szCs w:val="32"/>
        </w:rPr>
        <w:t>1</w:t>
      </w:r>
      <w:r>
        <w:rPr>
          <w:rFonts w:ascii="仿宋_GB2312" w:eastAsia="仿宋_GB2312"/>
          <w:sz w:val="32"/>
          <w:szCs w:val="32"/>
        </w:rPr>
        <w:t>.11</w:t>
      </w:r>
      <w:r>
        <w:rPr>
          <w:rFonts w:hint="eastAsia" w:ascii="仿宋_GB2312" w:eastAsia="仿宋_GB2312"/>
          <w:sz w:val="32"/>
          <w:szCs w:val="32"/>
        </w:rPr>
        <w:t>万元。</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2.政府性基金预算拨款收入0.00万元。</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3.国有资本经营预算拨款收入0.00万元。</w:t>
      </w:r>
    </w:p>
    <w:p>
      <w:pPr>
        <w:spacing w:line="560" w:lineRule="exact"/>
        <w:ind w:firstLine="640" w:firstLineChars="200"/>
        <w:rPr>
          <w:rFonts w:ascii="楷体_GB2312" w:eastAsia="楷体_GB2312"/>
          <w:sz w:val="32"/>
          <w:szCs w:val="32"/>
        </w:rPr>
      </w:pPr>
      <w:r>
        <w:rPr>
          <w:rFonts w:hint="eastAsia" w:ascii="楷体_GB2312" w:eastAsia="楷体_GB2312"/>
          <w:sz w:val="32"/>
          <w:szCs w:val="32"/>
        </w:rPr>
        <w:t>（二）本年其他资金收入0.00万元</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4.财政专户管理资金收入0.00万元。</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5.事业收入0.00万元。</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6.上级补助收入0.00万元。</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7.附属单位上缴收入0.00万元。</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8.事业单位经营收入0.00万元。</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9.其他收入0.00万元。</w:t>
      </w:r>
    </w:p>
    <w:p>
      <w:pPr>
        <w:spacing w:line="560" w:lineRule="exact"/>
        <w:ind w:firstLine="640" w:firstLineChars="200"/>
        <w:rPr>
          <w:rFonts w:ascii="楷体_GB2312" w:eastAsia="楷体_GB2312"/>
          <w:sz w:val="32"/>
          <w:szCs w:val="32"/>
        </w:rPr>
      </w:pPr>
      <w:r>
        <w:rPr>
          <w:rFonts w:hint="eastAsia" w:ascii="楷体_GB2312" w:eastAsia="楷体_GB2312"/>
          <w:sz w:val="32"/>
          <w:szCs w:val="32"/>
        </w:rPr>
        <w:t>（三）上年结转结余153.01万元</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10.上年结转结余153.01万元。</w:t>
      </w:r>
    </w:p>
    <w:p>
      <w:pPr>
        <w:pStyle w:val="2"/>
        <w:jc w:val="center"/>
        <w:rPr>
          <w:b w:val="0"/>
          <w:bCs w:val="0"/>
        </w:rPr>
      </w:pPr>
      <w:r>
        <w:rPr>
          <w:rFonts w:hint="eastAsia" w:ascii="仿宋_GB2312" w:eastAsia="仿宋_GB2312"/>
          <w:b w:val="0"/>
          <w:bCs w:val="0"/>
          <w:sz w:val="32"/>
        </w:rPr>
        <w:t>图1：收入预算</w:t>
      </w:r>
    </w:p>
    <w:p>
      <w:pPr>
        <w:pStyle w:val="2"/>
        <w:jc w:val="center"/>
      </w:pPr>
      <w:r>
        <w:drawing>
          <wp:inline distT="0" distB="0" distL="0" distR="0">
            <wp:extent cx="4998720" cy="2502535"/>
            <wp:effectExtent l="6350" t="6350" r="14605" b="15240"/>
            <wp:docPr id="1" name="图表 1"/>
            <wp:cNvGraphicFramePr/>
            <a:graphic xmlns:a="http://schemas.openxmlformats.org/drawingml/2006/main">
              <a:graphicData uri="http://schemas.openxmlformats.org/drawingml/2006/chart">
                <c:chart xmlns:c="http://schemas.openxmlformats.org/drawingml/2006/chart" xmlns:r="http://schemas.openxmlformats.org/officeDocument/2006/relationships" r:id="rId5"/>
              </a:graphicData>
            </a:graphic>
          </wp:inline>
        </w:drawing>
      </w:r>
    </w:p>
    <w:p>
      <w:r>
        <w:rPr>
          <w:color w:val="FF0000"/>
          <w:sz w:val="32"/>
          <w:szCs w:val="40"/>
        </w:rPr>
        <w:br w:type="page"/>
      </w:r>
    </w:p>
    <w:p>
      <w:pPr>
        <w:spacing w:line="560" w:lineRule="exact"/>
        <w:ind w:firstLine="640" w:firstLineChars="200"/>
        <w:rPr>
          <w:rFonts w:ascii="黑体" w:eastAsia="黑体"/>
          <w:sz w:val="32"/>
          <w:szCs w:val="32"/>
        </w:rPr>
      </w:pPr>
      <w:r>
        <w:rPr>
          <w:rFonts w:hint="eastAsia" w:ascii="黑体" w:eastAsia="黑体"/>
          <w:sz w:val="32"/>
          <w:szCs w:val="32"/>
        </w:rPr>
        <w:t>三、支出预算情况说明</w:t>
      </w:r>
    </w:p>
    <w:p>
      <w:pPr>
        <w:spacing w:line="240" w:lineRule="auto"/>
        <w:ind w:firstLine="640" w:firstLineChars="200"/>
        <w:rPr>
          <w:rFonts w:ascii="仿宋_GB2312" w:hAnsi="仿宋_GB2312" w:eastAsia="仿宋_GB2312" w:cs="仿宋_GB2312"/>
          <w:sz w:val="32"/>
          <w:szCs w:val="24"/>
        </w:rPr>
      </w:pPr>
      <w:r>
        <w:rPr>
          <w:rFonts w:hint="eastAsia" w:ascii="仿宋_GB2312" w:eastAsia="仿宋_GB2312"/>
          <w:sz w:val="32"/>
          <w:szCs w:val="32"/>
        </w:rPr>
        <w:t>2023年支出预算</w:t>
      </w:r>
      <w:r>
        <w:rPr>
          <w:rFonts w:ascii="仿宋_GB2312" w:eastAsia="仿宋_GB2312"/>
          <w:sz w:val="32"/>
          <w:szCs w:val="32"/>
        </w:rPr>
        <w:t>2,104.12</w:t>
      </w:r>
      <w:r>
        <w:rPr>
          <w:rFonts w:hint="eastAsia" w:ascii="仿宋_GB2312" w:eastAsia="仿宋_GB2312"/>
          <w:sz w:val="32"/>
          <w:szCs w:val="32"/>
        </w:rPr>
        <w:t>万元，比2022年年初预算数0.00万元增加</w:t>
      </w:r>
      <w:r>
        <w:rPr>
          <w:rFonts w:ascii="仿宋_GB2312" w:eastAsia="仿宋_GB2312"/>
          <w:sz w:val="32"/>
          <w:szCs w:val="32"/>
        </w:rPr>
        <w:t>2,104.12</w:t>
      </w:r>
      <w:r>
        <w:rPr>
          <w:rFonts w:hint="eastAsia" w:ascii="仿宋_GB2312" w:eastAsia="仿宋_GB2312"/>
          <w:sz w:val="32"/>
          <w:szCs w:val="32"/>
        </w:rPr>
        <w:t>万元，增长100%。主要原因是事业单位改革后，北京科技成果转化服务中心为新设立单位，新纳入</w:t>
      </w:r>
      <w:r>
        <w:rPr>
          <w:rFonts w:ascii="仿宋_GB2312" w:eastAsia="仿宋_GB2312"/>
          <w:sz w:val="32"/>
          <w:szCs w:val="32"/>
        </w:rPr>
        <w:t>2023年部门预算编报范围。</w:t>
      </w:r>
    </w:p>
    <w:p>
      <w:pPr>
        <w:tabs>
          <w:tab w:val="left" w:pos="851"/>
        </w:tabs>
        <w:spacing w:line="560" w:lineRule="exact"/>
        <w:ind w:firstLine="784"/>
        <w:rPr>
          <w:rFonts w:ascii="仿宋_GB2312" w:eastAsia="仿宋_GB2312"/>
          <w:sz w:val="32"/>
          <w:szCs w:val="32"/>
        </w:rPr>
      </w:pPr>
      <w:r>
        <w:rPr>
          <w:rFonts w:hint="eastAsia" w:ascii="楷体_GB2312" w:hAnsi="楷体_GB2312" w:eastAsia="楷体_GB2312" w:cs="楷体_GB2312"/>
          <w:sz w:val="32"/>
          <w:szCs w:val="32"/>
        </w:rPr>
        <w:t>(一)基本支出。</w:t>
      </w:r>
      <w:r>
        <w:rPr>
          <w:rFonts w:hint="eastAsia" w:ascii="仿宋_GB2312" w:eastAsia="仿宋_GB2312"/>
          <w:sz w:val="32"/>
          <w:szCs w:val="32"/>
        </w:rPr>
        <w:t>基本支出预算</w:t>
      </w:r>
      <w:r>
        <w:rPr>
          <w:rFonts w:ascii="仿宋_GB2312" w:eastAsia="仿宋_GB2312"/>
          <w:sz w:val="32"/>
          <w:szCs w:val="32"/>
        </w:rPr>
        <w:t>1,527.8</w:t>
      </w:r>
      <w:r>
        <w:rPr>
          <w:rFonts w:hint="eastAsia" w:ascii="仿宋_GB2312" w:eastAsia="仿宋_GB2312"/>
          <w:sz w:val="32"/>
          <w:szCs w:val="32"/>
        </w:rPr>
        <w:t>6万元，占总支出预算72.61%，比2022年年初预算数0.00万元增加</w:t>
      </w:r>
      <w:r>
        <w:rPr>
          <w:rFonts w:ascii="仿宋_GB2312" w:eastAsia="仿宋_GB2312"/>
          <w:sz w:val="32"/>
          <w:szCs w:val="32"/>
        </w:rPr>
        <w:t>1,527.86</w:t>
      </w:r>
      <w:r>
        <w:rPr>
          <w:rFonts w:hint="eastAsia" w:ascii="仿宋_GB2312" w:eastAsia="仿宋_GB2312"/>
          <w:sz w:val="32"/>
          <w:szCs w:val="32"/>
        </w:rPr>
        <w:t>万元，增长100%。</w:t>
      </w:r>
    </w:p>
    <w:p>
      <w:pPr>
        <w:spacing w:line="560" w:lineRule="exact"/>
        <w:ind w:firstLine="640"/>
        <w:rPr>
          <w:rFonts w:ascii="仿宋_GB2312" w:eastAsia="仿宋_GB2312"/>
          <w:sz w:val="32"/>
          <w:szCs w:val="32"/>
        </w:rPr>
      </w:pPr>
      <w:r>
        <w:rPr>
          <w:rFonts w:hint="eastAsia" w:ascii="楷体_GB2312" w:hAnsi="楷体_GB2312" w:eastAsia="楷体_GB2312" w:cs="楷体_GB2312"/>
          <w:sz w:val="32"/>
          <w:szCs w:val="32"/>
        </w:rPr>
        <w:t>（二）项目支出。</w:t>
      </w:r>
      <w:r>
        <w:rPr>
          <w:rFonts w:hint="eastAsia" w:ascii="仿宋_GB2312" w:eastAsia="仿宋_GB2312"/>
          <w:sz w:val="32"/>
          <w:szCs w:val="32"/>
        </w:rPr>
        <w:t>项目支出预算576.26万元，比2022年年初预算数0.00万元增加576.26万元，增长100%。其中：</w:t>
      </w:r>
    </w:p>
    <w:p>
      <w:pPr>
        <w:spacing w:line="560" w:lineRule="exact"/>
        <w:ind w:firstLine="640"/>
        <w:rPr>
          <w:rFonts w:ascii="仿宋_GB2312" w:eastAsia="仿宋_GB2312"/>
          <w:sz w:val="32"/>
          <w:szCs w:val="32"/>
        </w:rPr>
      </w:pPr>
      <w:r>
        <w:rPr>
          <w:rFonts w:hint="eastAsia" w:ascii="仿宋_GB2312" w:eastAsia="仿宋_GB2312"/>
          <w:sz w:val="32"/>
          <w:szCs w:val="32"/>
        </w:rPr>
        <w:t>1.事业单位经营支出0.00万元。</w:t>
      </w:r>
      <w:bookmarkStart w:id="1" w:name="_GoBack"/>
      <w:bookmarkEnd w:id="1"/>
    </w:p>
    <w:p>
      <w:pPr>
        <w:spacing w:line="560" w:lineRule="exact"/>
        <w:ind w:firstLine="640"/>
        <w:rPr>
          <w:rFonts w:ascii="仿宋_GB2312" w:eastAsia="仿宋_GB2312"/>
          <w:sz w:val="32"/>
          <w:szCs w:val="32"/>
        </w:rPr>
      </w:pPr>
      <w:r>
        <w:rPr>
          <w:rFonts w:hint="eastAsia" w:ascii="仿宋_GB2312" w:eastAsia="仿宋_GB2312"/>
          <w:sz w:val="32"/>
          <w:szCs w:val="32"/>
        </w:rPr>
        <w:t>2.上缴上级支出0.00万元。</w:t>
      </w:r>
    </w:p>
    <w:p>
      <w:pPr>
        <w:spacing w:line="560" w:lineRule="exact"/>
        <w:ind w:firstLine="640"/>
        <w:rPr>
          <w:rFonts w:ascii="仿宋_GB2312" w:eastAsia="仿宋_GB2312"/>
          <w:sz w:val="32"/>
          <w:szCs w:val="32"/>
        </w:rPr>
      </w:pPr>
      <w:r>
        <w:rPr>
          <w:rFonts w:hint="eastAsia" w:ascii="仿宋_GB2312" w:eastAsia="仿宋_GB2312"/>
          <w:sz w:val="32"/>
          <w:szCs w:val="32"/>
        </w:rPr>
        <w:t>3.对附属单位补助支出0.00万元。</w:t>
      </w:r>
    </w:p>
    <w:p>
      <w:pPr>
        <w:pStyle w:val="2"/>
        <w:ind w:firstLine="642"/>
        <w:jc w:val="center"/>
        <w:rPr>
          <w:b w:val="0"/>
          <w:bCs w:val="0"/>
        </w:rPr>
      </w:pPr>
      <w:r>
        <w:rPr>
          <w:rFonts w:hint="eastAsia" w:ascii="仿宋_GB2312" w:eastAsia="仿宋_GB2312"/>
          <w:b w:val="0"/>
          <w:bCs w:val="0"/>
          <w:sz w:val="32"/>
        </w:rPr>
        <w:t>图2：基本支出和项目支出情况</w:t>
      </w:r>
    </w:p>
    <w:p>
      <w:pPr>
        <w:pStyle w:val="2"/>
        <w:jc w:val="center"/>
      </w:pPr>
      <w:r>
        <w:drawing>
          <wp:inline distT="0" distB="0" distL="0" distR="0">
            <wp:extent cx="4867275" cy="2394585"/>
            <wp:effectExtent l="6350" t="6350" r="12700" b="8890"/>
            <wp:docPr id="5" name="图表 5"/>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inline>
        </w:drawing>
      </w:r>
    </w:p>
    <w:p>
      <w:pPr>
        <w:spacing w:line="560" w:lineRule="exact"/>
        <w:ind w:firstLine="640" w:firstLineChars="200"/>
        <w:rPr>
          <w:rFonts w:ascii="黑体" w:eastAsia="黑体"/>
          <w:sz w:val="32"/>
          <w:szCs w:val="32"/>
        </w:rPr>
      </w:pPr>
      <w:r>
        <w:rPr>
          <w:rFonts w:hint="eastAsia" w:ascii="黑体" w:eastAsia="黑体"/>
          <w:sz w:val="32"/>
          <w:szCs w:val="32"/>
        </w:rPr>
        <w:t>四、财政拨款“三公”经费预算情况说明</w:t>
      </w:r>
    </w:p>
    <w:p>
      <w:pPr>
        <w:spacing w:line="560" w:lineRule="exact"/>
        <w:ind w:firstLine="640" w:firstLineChars="200"/>
        <w:rPr>
          <w:rFonts w:ascii="楷体_GB2312" w:eastAsia="楷体_GB2312"/>
          <w:sz w:val="32"/>
          <w:szCs w:val="32"/>
        </w:rPr>
      </w:pPr>
      <w:r>
        <w:rPr>
          <w:rFonts w:hint="eastAsia" w:ascii="楷体_GB2312" w:eastAsia="楷体_GB2312"/>
          <w:sz w:val="32"/>
          <w:szCs w:val="32"/>
        </w:rPr>
        <w:t>（一）“三公”经费的单位范围</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北京科技成果转化服务中心因公出国（境）费用、公务接待费、公务用车购置和运行维护费开支单位包括1个所属单位。</w:t>
      </w:r>
    </w:p>
    <w:p>
      <w:pPr>
        <w:spacing w:line="560" w:lineRule="exact"/>
        <w:ind w:firstLine="640" w:firstLineChars="200"/>
        <w:rPr>
          <w:rFonts w:ascii="仿宋_GB2312" w:eastAsia="仿宋_GB2312"/>
          <w:sz w:val="32"/>
          <w:szCs w:val="32"/>
        </w:rPr>
      </w:pPr>
      <w:r>
        <w:rPr>
          <w:rFonts w:hint="eastAsia" w:ascii="楷体_GB2312" w:eastAsia="楷体_GB2312"/>
          <w:sz w:val="32"/>
          <w:szCs w:val="32"/>
        </w:rPr>
        <w:t>（二）财政拨款“三公”经费预算情况说明</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2023年财政拨款“三公”经费预算</w:t>
      </w:r>
      <w:r>
        <w:rPr>
          <w:rFonts w:ascii="仿宋_GB2312" w:eastAsia="仿宋_GB2312"/>
          <w:sz w:val="32"/>
          <w:szCs w:val="32"/>
        </w:rPr>
        <w:t>2.50</w:t>
      </w:r>
      <w:r>
        <w:rPr>
          <w:rFonts w:hint="eastAsia" w:ascii="仿宋_GB2312" w:eastAsia="仿宋_GB2312"/>
          <w:sz w:val="32"/>
          <w:szCs w:val="32"/>
        </w:rPr>
        <w:t>万元，比2022年财政拨款“三公”经费预算增加</w:t>
      </w:r>
      <w:r>
        <w:rPr>
          <w:rFonts w:ascii="仿宋_GB2312" w:eastAsia="仿宋_GB2312"/>
          <w:sz w:val="32"/>
          <w:szCs w:val="32"/>
        </w:rPr>
        <w:t>2.50</w:t>
      </w:r>
      <w:r>
        <w:rPr>
          <w:rFonts w:hint="eastAsia" w:ascii="仿宋_GB2312" w:eastAsia="仿宋_GB2312"/>
          <w:sz w:val="32"/>
          <w:szCs w:val="32"/>
        </w:rPr>
        <w:t>万元。其中：</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1.因公出国（境）费用。2023年预算数0.00万元，与2022年年初预算数持平。</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2.公务接待费。2023年预算数0.00万元，与2022年年初预算数持平。</w:t>
      </w:r>
    </w:p>
    <w:p>
      <w:pPr>
        <w:spacing w:line="240" w:lineRule="auto"/>
        <w:ind w:firstLine="640" w:firstLineChars="200"/>
        <w:rPr>
          <w:rFonts w:ascii="仿宋_GB2312" w:hAnsi="仿宋_GB2312" w:eastAsia="仿宋_GB2312" w:cs="仿宋_GB2312"/>
          <w:sz w:val="32"/>
        </w:rPr>
      </w:pPr>
      <w:r>
        <w:rPr>
          <w:rFonts w:hint="eastAsia" w:ascii="仿宋_GB2312" w:eastAsia="仿宋_GB2312"/>
          <w:sz w:val="32"/>
          <w:szCs w:val="32"/>
        </w:rPr>
        <w:t>3.公务用车购置和运行维护费。2023年预算数2.50万元，其中，公务用车购置费2023年预算数0.00万元，与2022年年初预算数持平；公务用车运行维护费2023年预算数2.50万元，其中：公务用车燃油1.32万元，公务用车维修</w:t>
      </w:r>
      <w:r>
        <w:rPr>
          <w:rFonts w:ascii="仿宋_GB2312" w:eastAsia="仿宋_GB2312"/>
          <w:sz w:val="32"/>
          <w:szCs w:val="32"/>
        </w:rPr>
        <w:t>0.43</w:t>
      </w:r>
      <w:r>
        <w:rPr>
          <w:rFonts w:hint="eastAsia" w:ascii="仿宋_GB2312" w:eastAsia="仿宋_GB2312"/>
          <w:sz w:val="32"/>
          <w:szCs w:val="32"/>
        </w:rPr>
        <w:t>万元，公务用车保险</w:t>
      </w:r>
      <w:r>
        <w:rPr>
          <w:rFonts w:ascii="仿宋_GB2312" w:eastAsia="仿宋_GB2312"/>
          <w:sz w:val="32"/>
          <w:szCs w:val="32"/>
        </w:rPr>
        <w:t>0.43</w:t>
      </w:r>
      <w:r>
        <w:rPr>
          <w:rFonts w:hint="eastAsia" w:ascii="仿宋_GB2312" w:eastAsia="仿宋_GB2312"/>
          <w:sz w:val="32"/>
          <w:szCs w:val="32"/>
        </w:rPr>
        <w:t>万元，其他支出0.32万元。公务用车运行维护费2023年预算数比2022年年初预算数0.00万元增加2.50万元。主要原因是事业单位改革后，北京科技成果转化服务中心为新设立单位，新纳入</w:t>
      </w:r>
      <w:r>
        <w:rPr>
          <w:rFonts w:ascii="仿宋_GB2312" w:eastAsia="仿宋_GB2312"/>
          <w:sz w:val="32"/>
          <w:szCs w:val="32"/>
        </w:rPr>
        <w:t>2023年部门预算编报范围。</w:t>
      </w:r>
    </w:p>
    <w:p>
      <w:pPr>
        <w:spacing w:line="560" w:lineRule="exact"/>
        <w:ind w:firstLine="640" w:firstLineChars="200"/>
        <w:rPr>
          <w:rFonts w:ascii="黑体" w:eastAsia="黑体"/>
          <w:sz w:val="32"/>
          <w:szCs w:val="32"/>
        </w:rPr>
      </w:pPr>
      <w:r>
        <w:rPr>
          <w:rFonts w:hint="eastAsia" w:ascii="黑体" w:eastAsia="黑体"/>
          <w:sz w:val="32"/>
          <w:szCs w:val="32"/>
        </w:rPr>
        <w:t>五、其他情况说明</w:t>
      </w:r>
    </w:p>
    <w:p>
      <w:pPr>
        <w:spacing w:line="560" w:lineRule="exact"/>
        <w:ind w:firstLine="640" w:firstLineChars="200"/>
        <w:rPr>
          <w:rFonts w:ascii="楷体_GB2312" w:eastAsia="楷体_GB2312"/>
          <w:sz w:val="32"/>
          <w:szCs w:val="32"/>
        </w:rPr>
      </w:pPr>
      <w:r>
        <w:rPr>
          <w:rFonts w:hint="eastAsia" w:ascii="楷体_GB2312" w:eastAsia="楷体_GB2312"/>
          <w:sz w:val="32"/>
          <w:szCs w:val="32"/>
        </w:rPr>
        <w:t>（一）政府采购预算说明</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2023年北京科技成果转化服务中心政府采购预算总额277.23万元，其中：政府采购货物预算0.00万元，政府采购工程预算0.00万元，政府采购服务预算</w:t>
      </w:r>
      <w:r>
        <w:rPr>
          <w:rFonts w:ascii="仿宋_GB2312" w:eastAsia="仿宋_GB2312"/>
          <w:sz w:val="32"/>
          <w:szCs w:val="32"/>
        </w:rPr>
        <w:t>27</w:t>
      </w:r>
      <w:r>
        <w:rPr>
          <w:rFonts w:hint="eastAsia" w:ascii="仿宋_GB2312" w:eastAsia="仿宋_GB2312"/>
          <w:sz w:val="32"/>
          <w:szCs w:val="32"/>
        </w:rPr>
        <w:t>7</w:t>
      </w:r>
      <w:r>
        <w:rPr>
          <w:rFonts w:ascii="仿宋_GB2312" w:eastAsia="仿宋_GB2312"/>
          <w:sz w:val="32"/>
          <w:szCs w:val="32"/>
        </w:rPr>
        <w:t>.23</w:t>
      </w:r>
      <w:r>
        <w:rPr>
          <w:rFonts w:hint="eastAsia" w:ascii="仿宋_GB2312" w:eastAsia="仿宋_GB2312"/>
          <w:sz w:val="32"/>
          <w:szCs w:val="32"/>
        </w:rPr>
        <w:t>万元。</w:t>
      </w:r>
    </w:p>
    <w:p>
      <w:pPr>
        <w:spacing w:line="560" w:lineRule="exact"/>
        <w:ind w:firstLine="640" w:firstLineChars="200"/>
        <w:rPr>
          <w:rFonts w:ascii="楷体_GB2312" w:eastAsia="楷体_GB2312"/>
          <w:sz w:val="32"/>
          <w:szCs w:val="32"/>
        </w:rPr>
      </w:pPr>
      <w:r>
        <w:rPr>
          <w:rFonts w:hint="eastAsia" w:ascii="楷体_GB2312" w:eastAsia="楷体_GB2312"/>
          <w:sz w:val="32"/>
          <w:szCs w:val="32"/>
        </w:rPr>
        <w:t>（二）政府购买服务预算说明</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本单位不属于政府购买服务购买主体。</w:t>
      </w:r>
    </w:p>
    <w:p>
      <w:pPr>
        <w:spacing w:line="560" w:lineRule="exact"/>
        <w:ind w:firstLine="640" w:firstLineChars="200"/>
        <w:rPr>
          <w:rFonts w:ascii="楷体_GB2312" w:eastAsia="楷体_GB2312"/>
          <w:sz w:val="32"/>
          <w:szCs w:val="32"/>
        </w:rPr>
      </w:pPr>
      <w:r>
        <w:rPr>
          <w:rFonts w:hint="eastAsia" w:ascii="楷体_GB2312" w:eastAsia="楷体_GB2312"/>
          <w:sz w:val="32"/>
          <w:szCs w:val="32"/>
        </w:rPr>
        <w:t>（三）机关运行经费说明</w:t>
      </w:r>
    </w:p>
    <w:p>
      <w:pPr>
        <w:spacing w:line="560" w:lineRule="exact"/>
        <w:ind w:firstLine="640" w:firstLineChars="200"/>
      </w:pPr>
      <w:r>
        <w:rPr>
          <w:rFonts w:hint="eastAsia" w:ascii="仿宋_GB2312" w:eastAsia="仿宋_GB2312"/>
          <w:sz w:val="32"/>
          <w:szCs w:val="32"/>
        </w:rPr>
        <w:t>本单位不在机关运行经费统计范围之内。</w:t>
      </w:r>
    </w:p>
    <w:p>
      <w:pPr>
        <w:spacing w:line="560" w:lineRule="exact"/>
        <w:ind w:firstLine="640" w:firstLineChars="200"/>
        <w:rPr>
          <w:rFonts w:ascii="楷体_GB2312" w:eastAsia="楷体_GB2312"/>
          <w:sz w:val="32"/>
          <w:szCs w:val="32"/>
        </w:rPr>
      </w:pPr>
      <w:r>
        <w:rPr>
          <w:rFonts w:hint="eastAsia" w:ascii="楷体_GB2312" w:eastAsia="楷体_GB2312"/>
          <w:sz w:val="32"/>
          <w:szCs w:val="32"/>
        </w:rPr>
        <w:t>（四）项目支出绩效目标情况说明</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2023年，北京科技成果转化服务中心填报绩效目标的预算项目1个，占本单位本年预算项目1个的100%。填报绩效目标的项目支出预算423.25万元，占本单位本年项目支出预算的</w:t>
      </w:r>
      <w:r>
        <w:rPr>
          <w:rFonts w:ascii="仿宋_GB2312" w:eastAsia="仿宋_GB2312"/>
          <w:sz w:val="32"/>
          <w:szCs w:val="32"/>
        </w:rPr>
        <w:t>100</w:t>
      </w:r>
      <w:r>
        <w:rPr>
          <w:rFonts w:hint="eastAsia" w:ascii="仿宋_GB2312" w:eastAsia="仿宋_GB2312"/>
          <w:sz w:val="32"/>
          <w:szCs w:val="32"/>
        </w:rPr>
        <w:t>%。</w:t>
      </w:r>
    </w:p>
    <w:p>
      <w:pPr>
        <w:numPr>
          <w:ilvl w:val="0"/>
          <w:numId w:val="1"/>
        </w:numPr>
        <w:spacing w:line="560" w:lineRule="exact"/>
        <w:ind w:firstLine="640" w:firstLineChars="200"/>
        <w:rPr>
          <w:rFonts w:ascii="楷体_GB2312" w:eastAsia="楷体_GB2312"/>
          <w:sz w:val="32"/>
          <w:szCs w:val="32"/>
        </w:rPr>
      </w:pPr>
      <w:r>
        <w:rPr>
          <w:rFonts w:hint="eastAsia" w:ascii="楷体_GB2312" w:eastAsia="楷体_GB2312"/>
          <w:sz w:val="32"/>
          <w:szCs w:val="32"/>
        </w:rPr>
        <w:t>重点行政事业性收费情况说明</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本单位2023年无重点行政事业性收费。</w:t>
      </w:r>
    </w:p>
    <w:p>
      <w:pPr>
        <w:spacing w:line="560" w:lineRule="exact"/>
        <w:ind w:firstLine="640" w:firstLineChars="200"/>
        <w:rPr>
          <w:rFonts w:ascii="楷体_GB2312" w:eastAsia="楷体_GB2312"/>
          <w:sz w:val="32"/>
          <w:szCs w:val="32"/>
        </w:rPr>
      </w:pPr>
      <w:r>
        <w:rPr>
          <w:rFonts w:hint="eastAsia" w:ascii="楷体_GB2312" w:eastAsia="楷体_GB2312"/>
          <w:sz w:val="32"/>
          <w:szCs w:val="32"/>
        </w:rPr>
        <w:t>（六）国有资本经营预算财政拨款情况说明</w:t>
      </w:r>
    </w:p>
    <w:p>
      <w:pPr>
        <w:spacing w:line="560" w:lineRule="exact"/>
        <w:ind w:firstLine="640" w:firstLineChars="200"/>
        <w:rPr>
          <w:rFonts w:ascii="仿宋_GB2312" w:eastAsia="仿宋_GB2312"/>
          <w:color w:val="000000"/>
          <w:sz w:val="32"/>
          <w:szCs w:val="32"/>
        </w:rPr>
      </w:pPr>
      <w:r>
        <w:rPr>
          <w:rFonts w:hint="eastAsia" w:ascii="仿宋_GB2312" w:eastAsia="仿宋_GB2312"/>
          <w:sz w:val="32"/>
          <w:szCs w:val="32"/>
        </w:rPr>
        <w:t>本单位2023</w:t>
      </w:r>
      <w:r>
        <w:rPr>
          <w:rFonts w:hint="eastAsia" w:ascii="仿宋_GB2312" w:eastAsia="仿宋_GB2312"/>
          <w:color w:val="000000"/>
          <w:sz w:val="32"/>
          <w:szCs w:val="32"/>
        </w:rPr>
        <w:t>年无国有资本经营预算财政拨款安排的预算。</w:t>
      </w:r>
    </w:p>
    <w:p>
      <w:pPr>
        <w:spacing w:line="560" w:lineRule="exact"/>
        <w:ind w:firstLine="640" w:firstLineChars="200"/>
        <w:rPr>
          <w:rFonts w:ascii="楷体_GB2312" w:eastAsia="楷体_GB2312"/>
          <w:color w:val="000000"/>
          <w:sz w:val="32"/>
          <w:szCs w:val="32"/>
        </w:rPr>
      </w:pPr>
      <w:r>
        <w:rPr>
          <w:rFonts w:hint="eastAsia" w:ascii="楷体_GB2312" w:eastAsia="楷体_GB2312"/>
          <w:color w:val="000000"/>
          <w:sz w:val="32"/>
          <w:szCs w:val="32"/>
        </w:rPr>
        <w:t>（七）国有资产占用情况说明</w:t>
      </w:r>
    </w:p>
    <w:p>
      <w:pPr>
        <w:spacing w:line="560" w:lineRule="exact"/>
        <w:ind w:firstLine="640" w:firstLineChars="200"/>
      </w:pPr>
      <w:r>
        <w:rPr>
          <w:rFonts w:hint="eastAsia" w:ascii="仿宋_GB2312" w:eastAsia="仿宋_GB2312"/>
          <w:color w:val="000000"/>
          <w:sz w:val="32"/>
          <w:szCs w:val="32"/>
        </w:rPr>
        <w:t>截至202</w:t>
      </w:r>
      <w:r>
        <w:rPr>
          <w:rFonts w:ascii="仿宋_GB2312" w:eastAsia="仿宋_GB2312"/>
          <w:color w:val="000000"/>
          <w:sz w:val="32"/>
          <w:szCs w:val="32"/>
        </w:rPr>
        <w:t>2</w:t>
      </w:r>
      <w:r>
        <w:rPr>
          <w:rFonts w:hint="eastAsia" w:ascii="仿宋_GB2312" w:eastAsia="仿宋_GB2312"/>
          <w:color w:val="000000"/>
          <w:sz w:val="32"/>
          <w:szCs w:val="32"/>
        </w:rPr>
        <w:t>年底，北京科技成果转化服务中心共有车辆1台，共计17.70万元；单位价值50万元以上的通用设备0台（套），共计0.00万元，单位价值100万元以上的专用设备0台（套）、共计0.00万元。</w:t>
      </w:r>
    </w:p>
    <w:p>
      <w:pPr>
        <w:numPr>
          <w:ilvl w:val="0"/>
          <w:numId w:val="2"/>
        </w:numPr>
        <w:spacing w:line="560" w:lineRule="exact"/>
        <w:ind w:firstLine="640" w:firstLineChars="200"/>
      </w:pPr>
      <w:r>
        <w:rPr>
          <w:rFonts w:hint="eastAsia" w:ascii="黑体" w:eastAsia="黑体"/>
          <w:color w:val="000000"/>
          <w:sz w:val="32"/>
          <w:szCs w:val="32"/>
        </w:rPr>
        <w:t>名词解释</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基本支出：指为保障机构正常运转、完成日常工作任务而发生的人员支出和公用支出。</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项目支出：指在基本支出之外为完成特定行政任务或事业发展目标所发生的支出。</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“三公”经费财政拨款预算数：指本单位当年单位预算安排的因公出国（境）费用、公务接待费、公务用车购置和运行维护费预算数。</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政府采购：各级国家机关、事业单位和团体组织，使用财政性资金采购依法制定的集中采购目录以内的或者采购限额标准以上的货物、工程和服务的行为，是规范财政支出管理和强化预算约束的有效措施。</w:t>
      </w:r>
    </w:p>
    <w:p>
      <w:pPr>
        <w:spacing w:line="560" w:lineRule="exact"/>
        <w:jc w:val="center"/>
        <w:rPr>
          <w:rFonts w:ascii="方正小标宋简体" w:eastAsia="方正小标宋简体"/>
          <w:color w:val="000000"/>
          <w:sz w:val="36"/>
          <w:szCs w:val="36"/>
        </w:rPr>
      </w:pPr>
    </w:p>
    <w:p>
      <w:pPr>
        <w:spacing w:line="560" w:lineRule="exact"/>
        <w:jc w:val="center"/>
        <w:rPr>
          <w:rFonts w:ascii="方正小标宋简体" w:eastAsia="方正小标宋简体"/>
          <w:color w:val="000000"/>
          <w:sz w:val="36"/>
          <w:szCs w:val="36"/>
        </w:rPr>
      </w:pPr>
      <w:r>
        <w:rPr>
          <w:rFonts w:hint="eastAsia" w:ascii="方正小标宋简体" w:eastAsia="方正小标宋简体"/>
          <w:color w:val="000000"/>
          <w:sz w:val="36"/>
          <w:szCs w:val="36"/>
        </w:rPr>
        <w:t>第二部分  2023年度单位预算报表</w:t>
      </w:r>
    </w:p>
    <w:p>
      <w:pPr>
        <w:autoSpaceDE w:val="0"/>
        <w:autoSpaceDN w:val="0"/>
        <w:adjustRightInd w:val="0"/>
        <w:spacing w:line="560" w:lineRule="exact"/>
        <w:jc w:val="left"/>
        <w:rPr>
          <w:rFonts w:ascii="方正小标宋简体" w:eastAsia="方正小标宋简体"/>
          <w:color w:val="000000"/>
          <w:sz w:val="36"/>
          <w:szCs w:val="36"/>
        </w:rPr>
      </w:pPr>
    </w:p>
    <w:p>
      <w:pPr>
        <w:spacing w:line="560" w:lineRule="exact"/>
        <w:rPr>
          <w:rFonts w:ascii="仿宋_GB2312" w:eastAsia="仿宋_GB2312"/>
          <w:color w:val="000000"/>
          <w:sz w:val="32"/>
          <w:szCs w:val="32"/>
        </w:rPr>
      </w:pPr>
      <w:r>
        <w:rPr>
          <w:rFonts w:hint="eastAsia" w:ascii="仿宋_GB2312" w:eastAsia="仿宋_GB2312"/>
          <w:color w:val="000000"/>
          <w:sz w:val="32"/>
          <w:szCs w:val="32"/>
        </w:rPr>
        <w:t>附件：北京科技成果转化服务中心2023年度单位预算报表</w:t>
      </w:r>
      <w:r>
        <w:rPr>
          <w:rFonts w:hint="eastAsia" w:ascii="仿宋_GB2312" w:eastAsia="仿宋_GB2312" w:cs="宋体"/>
          <w:color w:val="000000"/>
          <w:kern w:val="0"/>
          <w:sz w:val="32"/>
          <w:szCs w:val="32"/>
          <w:lang w:val="zh-CN"/>
        </w:rPr>
        <w:t xml:space="preserve"> </w:t>
      </w:r>
    </w:p>
    <w:p>
      <w:pPr>
        <w:pStyle w:val="2"/>
        <w:rPr>
          <w:rFonts w:ascii="仿宋_GB2312" w:eastAsia="仿宋_GB2312"/>
          <w:color w:val="000000"/>
          <w:sz w:val="32"/>
        </w:rPr>
      </w:pPr>
    </w:p>
    <w:p>
      <w:pPr>
        <w:rPr>
          <w:rFonts w:ascii="仿宋_GB2312" w:eastAsia="仿宋_GB2312"/>
          <w:color w:val="000000"/>
          <w:sz w:val="32"/>
          <w:szCs w:val="32"/>
        </w:rPr>
      </w:pPr>
    </w:p>
    <w:p>
      <w:bookmarkStart w:id="0" w:name="chaosong"/>
      <w:bookmarkEnd w:id="0"/>
    </w:p>
    <w:sectPr>
      <w:footerReference r:id="rId3" w:type="default"/>
      <w:pgSz w:w="11906" w:h="16838"/>
      <w:pgMar w:top="1440" w:right="1800" w:bottom="1440" w:left="1800" w:header="851" w:footer="992"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Droid Sans">
    <w:altName w:val="微软雅黑"/>
    <w:panose1 w:val="00000000000000000000"/>
    <w:charset w:val="00"/>
    <w:family w:val="auto"/>
    <w:pitch w:val="default"/>
    <w:sig w:usb0="00000000" w:usb1="00000000" w:usb2="00000000" w:usb3="00000000" w:csb0="00040001" w:csb1="00000000"/>
  </w:font>
  <w:font w:name="Cambria">
    <w:panose1 w:val="02040503050406030204"/>
    <w:charset w:val="00"/>
    <w:family w:val="roman"/>
    <w:pitch w:val="default"/>
    <w:sig w:usb0="E00006FF" w:usb1="420024FF" w:usb2="02000000" w:usb3="00000000" w:csb0="2000019F" w:csb1="00000000"/>
  </w:font>
  <w:font w:name="Microsoft YaHei UI">
    <w:panose1 w:val="020B0503020204020204"/>
    <w:charset w:val="86"/>
    <w:family w:val="swiss"/>
    <w:pitch w:val="default"/>
    <w:sig w:usb0="80000287" w:usb1="2ACF3C50" w:usb2="00000016" w:usb3="00000000" w:csb0="0004001F"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altName w:val="楷体"/>
    <w:panose1 w:val="00000000000000000000"/>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Cambria Math">
    <w:panose1 w:val="02040503050406030204"/>
    <w:charset w:val="00"/>
    <w:family w:val="swiss"/>
    <w:pitch w:val="fixed"/>
    <w:sig w:usb0="E00006FF" w:usb1="420024FF" w:usb2="02000000" w:usb3="00000000" w:csb0="2000019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right"/>
      <w:rPr>
        <w:rFonts w:ascii="宋体" w:hAnsi="宋体"/>
        <w:sz w:val="28"/>
        <w:szCs w:val="28"/>
      </w:rPr>
    </w:pPr>
    <w:r>
      <w:rPr>
        <w:sz w:val="2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445135" cy="230505"/>
              <wp:effectExtent l="0" t="0" r="0" b="0"/>
              <wp:wrapNone/>
              <wp:docPr id="3" name="文本框 3"/>
              <wp:cNvGraphicFramePr/>
              <a:graphic xmlns:a="http://schemas.openxmlformats.org/drawingml/2006/main">
                <a:graphicData uri="http://schemas.microsoft.com/office/word/2010/wordprocessingShape">
                  <wps:wsp>
                    <wps:cNvSpPr txBox="1">
                      <a:spLocks noChangeArrowheads="1"/>
                    </wps:cNvSpPr>
                    <wps:spPr bwMode="auto">
                      <a:xfrm>
                        <a:off x="0" y="0"/>
                        <a:ext cx="445135" cy="230505"/>
                      </a:xfrm>
                      <a:prstGeom prst="rect">
                        <a:avLst/>
                      </a:prstGeom>
                      <a:noFill/>
                      <a:ln>
                        <a:noFill/>
                      </a:ln>
                    </wps:spPr>
                    <wps:txbx>
                      <w:txbxContent>
                        <w:p>
                          <w:pPr>
                            <w:pStyle w:val="5"/>
                            <w:jc w:val="right"/>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7 -</w:t>
                          </w:r>
                          <w:r>
                            <w:rPr>
                              <w:rFonts w:ascii="宋体" w:hAnsi="宋体"/>
                              <w:sz w:val="28"/>
                              <w:szCs w:val="28"/>
                            </w:rPr>
                            <w:fldChar w:fldCharType="end"/>
                          </w:r>
                        </w:p>
                      </w:txbxContent>
                    </wps:txbx>
                    <wps:bodyPr rot="0" vert="horz" wrap="none" lIns="0" tIns="0" rIns="0" bIns="0" anchor="t" anchorCtr="0" upright="1">
                      <a:spAutoFit/>
                    </wps:bodyPr>
                  </wps:wsp>
                </a:graphicData>
              </a:graphic>
            </wp:anchor>
          </w:drawing>
        </mc:Choice>
        <mc:Fallback>
          <w:pict>
            <v:shape id="_x0000_s1026" o:spid="_x0000_s1026" o:spt="202" type="#_x0000_t202" style="position:absolute;left:0pt;margin-top:0pt;height:18.15pt;width:35.05pt;mso-position-horizontal:outside;mso-position-horizontal-relative:margin;mso-wrap-style:none;z-index:251659264;mso-width-relative:page;mso-height-relative:page;" filled="f" stroked="f" coordsize="21600,21600" o:gfxdata="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&#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">
              <v:fill on="f" focussize="0,0"/>
              <v:stroke on="f"/>
              <v:imagedata o:title=""/>
              <o:lock v:ext="edit" aspectratio="f"/>
              <v:textbox inset="0mm,0mm,0mm,0mm" style="mso-fit-shape-to-text:t;">
                <w:txbxContent>
                  <w:p>
                    <w:pPr>
                      <w:pStyle w:val="5"/>
                      <w:jc w:val="right"/>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7 -</w:t>
                    </w:r>
                    <w:r>
                      <w:rPr>
                        <w:rFonts w:ascii="宋体" w:hAnsi="宋体"/>
                        <w:sz w:val="28"/>
                        <w:szCs w:val="28"/>
                      </w:rPr>
                      <w:fldChar w:fldCharType="end"/>
                    </w:r>
                  </w:p>
                </w:txbxContent>
              </v:textbox>
            </v:shape>
          </w:pict>
        </mc:Fallback>
      </mc:AlternateContent>
    </w:r>
  </w:p>
  <w:p>
    <w:pPr>
      <w:pStyle w:val="5"/>
      <w:ind w:right="360" w:firstLine="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551F72E"/>
    <w:multiLevelType w:val="singleLevel"/>
    <w:tmpl w:val="6551F72E"/>
    <w:lvl w:ilvl="0" w:tentative="0">
      <w:start w:val="6"/>
      <w:numFmt w:val="chineseCounting"/>
      <w:suff w:val="nothing"/>
      <w:lvlText w:val="%1、"/>
      <w:lvlJc w:val="left"/>
      <w:rPr>
        <w:rFonts w:hint="eastAsia" w:ascii="黑体" w:hAnsi="黑体" w:eastAsia="黑体" w:cs="黑体"/>
        <w:sz w:val="32"/>
        <w:szCs w:val="32"/>
      </w:rPr>
    </w:lvl>
  </w:abstractNum>
  <w:abstractNum w:abstractNumId="1">
    <w:nsid w:val="6E5B2E40"/>
    <w:multiLevelType w:val="singleLevel"/>
    <w:tmpl w:val="6E5B2E40"/>
    <w:lvl w:ilvl="0" w:tentative="0">
      <w:start w:val="5"/>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IxZTlhZWY5YzcxZDcyMjNlNTA2YTA3MGU5NWIyMDYifQ=="/>
  </w:docVars>
  <w:rsids>
    <w:rsidRoot w:val="00DA3E64"/>
    <w:rsid w:val="00041FDB"/>
    <w:rsid w:val="00086C90"/>
    <w:rsid w:val="000A1FD6"/>
    <w:rsid w:val="000B2DFE"/>
    <w:rsid w:val="000C1FBD"/>
    <w:rsid w:val="000E4308"/>
    <w:rsid w:val="001F075F"/>
    <w:rsid w:val="001F3B1E"/>
    <w:rsid w:val="00255B8C"/>
    <w:rsid w:val="00291AB5"/>
    <w:rsid w:val="00297802"/>
    <w:rsid w:val="00320258"/>
    <w:rsid w:val="0035201E"/>
    <w:rsid w:val="00386FE5"/>
    <w:rsid w:val="003C6D70"/>
    <w:rsid w:val="003F3397"/>
    <w:rsid w:val="004062C2"/>
    <w:rsid w:val="004230FC"/>
    <w:rsid w:val="004936EE"/>
    <w:rsid w:val="004B6C5C"/>
    <w:rsid w:val="00501494"/>
    <w:rsid w:val="00524C92"/>
    <w:rsid w:val="00525B04"/>
    <w:rsid w:val="00560C61"/>
    <w:rsid w:val="005649F6"/>
    <w:rsid w:val="00573188"/>
    <w:rsid w:val="0059405A"/>
    <w:rsid w:val="005B0BCE"/>
    <w:rsid w:val="005B2C51"/>
    <w:rsid w:val="0062186F"/>
    <w:rsid w:val="00626C56"/>
    <w:rsid w:val="00631D8E"/>
    <w:rsid w:val="00687BE3"/>
    <w:rsid w:val="00687C63"/>
    <w:rsid w:val="006919AC"/>
    <w:rsid w:val="007452F6"/>
    <w:rsid w:val="0076326A"/>
    <w:rsid w:val="00775C2A"/>
    <w:rsid w:val="00794064"/>
    <w:rsid w:val="007A2261"/>
    <w:rsid w:val="007C062E"/>
    <w:rsid w:val="007C0773"/>
    <w:rsid w:val="00896EB8"/>
    <w:rsid w:val="008D3065"/>
    <w:rsid w:val="00923AB0"/>
    <w:rsid w:val="00953F62"/>
    <w:rsid w:val="00991296"/>
    <w:rsid w:val="009967AF"/>
    <w:rsid w:val="009B79D4"/>
    <w:rsid w:val="009C4540"/>
    <w:rsid w:val="009D5551"/>
    <w:rsid w:val="009D6C86"/>
    <w:rsid w:val="00A06F1B"/>
    <w:rsid w:val="00A56E49"/>
    <w:rsid w:val="00AA0B9A"/>
    <w:rsid w:val="00AD35CC"/>
    <w:rsid w:val="00B56368"/>
    <w:rsid w:val="00B66CA5"/>
    <w:rsid w:val="00BB2C5A"/>
    <w:rsid w:val="00BC4174"/>
    <w:rsid w:val="00BF4454"/>
    <w:rsid w:val="00BF498F"/>
    <w:rsid w:val="00C75D73"/>
    <w:rsid w:val="00CA105F"/>
    <w:rsid w:val="00CE75CD"/>
    <w:rsid w:val="00D46562"/>
    <w:rsid w:val="00D51C77"/>
    <w:rsid w:val="00DA3E64"/>
    <w:rsid w:val="00DB4F17"/>
    <w:rsid w:val="00DD0773"/>
    <w:rsid w:val="00DD29A0"/>
    <w:rsid w:val="00DD421F"/>
    <w:rsid w:val="00E00D03"/>
    <w:rsid w:val="00E16FDD"/>
    <w:rsid w:val="00E24F99"/>
    <w:rsid w:val="00E64DC9"/>
    <w:rsid w:val="00E720C8"/>
    <w:rsid w:val="00E72C16"/>
    <w:rsid w:val="00E931AD"/>
    <w:rsid w:val="00E932EC"/>
    <w:rsid w:val="00E9331E"/>
    <w:rsid w:val="00E949D0"/>
    <w:rsid w:val="00EE1C7C"/>
    <w:rsid w:val="00F528D5"/>
    <w:rsid w:val="00FF07DC"/>
    <w:rsid w:val="017A19A1"/>
    <w:rsid w:val="017C2CB3"/>
    <w:rsid w:val="01A00569"/>
    <w:rsid w:val="042A5AF7"/>
    <w:rsid w:val="04447FB3"/>
    <w:rsid w:val="06EA15F1"/>
    <w:rsid w:val="07CD02C0"/>
    <w:rsid w:val="0B19782D"/>
    <w:rsid w:val="0C2C5114"/>
    <w:rsid w:val="0C7849F9"/>
    <w:rsid w:val="0D3A63F7"/>
    <w:rsid w:val="0E146C48"/>
    <w:rsid w:val="0FE3246F"/>
    <w:rsid w:val="10F36FE9"/>
    <w:rsid w:val="14144B0C"/>
    <w:rsid w:val="142C50E3"/>
    <w:rsid w:val="16D17C0E"/>
    <w:rsid w:val="16EB30C7"/>
    <w:rsid w:val="16F629B9"/>
    <w:rsid w:val="17122D53"/>
    <w:rsid w:val="1731136C"/>
    <w:rsid w:val="19AF6DCC"/>
    <w:rsid w:val="1B8970FB"/>
    <w:rsid w:val="1BC25DF0"/>
    <w:rsid w:val="1E6C3F37"/>
    <w:rsid w:val="1EE52218"/>
    <w:rsid w:val="1F6E507C"/>
    <w:rsid w:val="2074045F"/>
    <w:rsid w:val="234D2B0B"/>
    <w:rsid w:val="27332718"/>
    <w:rsid w:val="276A76DD"/>
    <w:rsid w:val="27BE17EE"/>
    <w:rsid w:val="28DF395A"/>
    <w:rsid w:val="2907142C"/>
    <w:rsid w:val="29A97D58"/>
    <w:rsid w:val="2A252715"/>
    <w:rsid w:val="2A3654DB"/>
    <w:rsid w:val="2A4C2E6E"/>
    <w:rsid w:val="2B024961"/>
    <w:rsid w:val="2BD27A1E"/>
    <w:rsid w:val="2C424529"/>
    <w:rsid w:val="2FD86E9B"/>
    <w:rsid w:val="307153DD"/>
    <w:rsid w:val="31401FA3"/>
    <w:rsid w:val="329462E9"/>
    <w:rsid w:val="36154711"/>
    <w:rsid w:val="36CA5C2C"/>
    <w:rsid w:val="37582A72"/>
    <w:rsid w:val="3AF818B3"/>
    <w:rsid w:val="3B750EE5"/>
    <w:rsid w:val="3C587DD4"/>
    <w:rsid w:val="3DE246D7"/>
    <w:rsid w:val="3E3B3294"/>
    <w:rsid w:val="406A4FFE"/>
    <w:rsid w:val="42FB6058"/>
    <w:rsid w:val="43364990"/>
    <w:rsid w:val="456F696D"/>
    <w:rsid w:val="478D08F6"/>
    <w:rsid w:val="49077CB8"/>
    <w:rsid w:val="498D4675"/>
    <w:rsid w:val="4C740363"/>
    <w:rsid w:val="4D174235"/>
    <w:rsid w:val="4DA66A4D"/>
    <w:rsid w:val="4E367CEF"/>
    <w:rsid w:val="4EE01C53"/>
    <w:rsid w:val="4F24642B"/>
    <w:rsid w:val="4F383E2F"/>
    <w:rsid w:val="50FB7F6E"/>
    <w:rsid w:val="5209265C"/>
    <w:rsid w:val="545B2D20"/>
    <w:rsid w:val="55926977"/>
    <w:rsid w:val="57BD5228"/>
    <w:rsid w:val="583D1DD1"/>
    <w:rsid w:val="58971F5B"/>
    <w:rsid w:val="59B92E21"/>
    <w:rsid w:val="5A162CF0"/>
    <w:rsid w:val="5A752689"/>
    <w:rsid w:val="5BE81245"/>
    <w:rsid w:val="5CAF4AA2"/>
    <w:rsid w:val="5E03083C"/>
    <w:rsid w:val="5E224753"/>
    <w:rsid w:val="5F07071D"/>
    <w:rsid w:val="60E66B0E"/>
    <w:rsid w:val="61564461"/>
    <w:rsid w:val="61611A47"/>
    <w:rsid w:val="61EA10F7"/>
    <w:rsid w:val="62422353"/>
    <w:rsid w:val="637235DB"/>
    <w:rsid w:val="63BC79DF"/>
    <w:rsid w:val="644C132A"/>
    <w:rsid w:val="65406257"/>
    <w:rsid w:val="66AF572C"/>
    <w:rsid w:val="67546BF3"/>
    <w:rsid w:val="68B90674"/>
    <w:rsid w:val="68F41401"/>
    <w:rsid w:val="69004F74"/>
    <w:rsid w:val="6F50511D"/>
    <w:rsid w:val="7007308C"/>
    <w:rsid w:val="70EF1F9B"/>
    <w:rsid w:val="718B3E8F"/>
    <w:rsid w:val="72D93BA9"/>
    <w:rsid w:val="72FB2E21"/>
    <w:rsid w:val="75112A0C"/>
    <w:rsid w:val="78A74CC3"/>
    <w:rsid w:val="7D0B0AC6"/>
    <w:rsid w:val="7E18374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iPriority="3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Droid Sans"/>
      <w:kern w:val="2"/>
      <w:sz w:val="21"/>
      <w:szCs w:val="24"/>
      <w:lang w:val="en-US" w:eastAsia="zh-CN" w:bidi="ar-SA"/>
    </w:rPr>
  </w:style>
  <w:style w:type="paragraph" w:styleId="2">
    <w:name w:val="heading 2"/>
    <w:basedOn w:val="1"/>
    <w:next w:val="1"/>
    <w:link w:val="13"/>
    <w:qFormat/>
    <w:uiPriority w:val="0"/>
    <w:pPr>
      <w:keepNext/>
      <w:keepLines/>
      <w:spacing w:before="100" w:beforeAutospacing="1" w:after="100" w:afterAutospacing="1"/>
      <w:outlineLvl w:val="1"/>
    </w:pPr>
    <w:rPr>
      <w:rFonts w:ascii="Cambria" w:hAnsi="Cambria" w:eastAsia="黑体" w:cs="Times New Roman"/>
      <w:b/>
      <w:bCs/>
      <w:kern w:val="0"/>
      <w:sz w:val="36"/>
      <w:szCs w:val="32"/>
    </w:rPr>
  </w:style>
  <w:style w:type="character" w:default="1" w:styleId="9">
    <w:name w:val="Default Paragraph Font"/>
    <w:semiHidden/>
    <w:unhideWhenUsed/>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link w:val="15"/>
    <w:unhideWhenUsed/>
    <w:qFormat/>
    <w:uiPriority w:val="99"/>
    <w:pPr>
      <w:jc w:val="left"/>
    </w:pPr>
  </w:style>
  <w:style w:type="paragraph" w:styleId="4">
    <w:name w:val="Balloon Text"/>
    <w:basedOn w:val="1"/>
    <w:link w:val="19"/>
    <w:semiHidden/>
    <w:unhideWhenUsed/>
    <w:qFormat/>
    <w:uiPriority w:val="99"/>
    <w:rPr>
      <w:sz w:val="18"/>
      <w:szCs w:val="18"/>
    </w:rPr>
  </w:style>
  <w:style w:type="paragraph" w:styleId="5">
    <w:name w:val="footer"/>
    <w:basedOn w:val="1"/>
    <w:link w:val="12"/>
    <w:unhideWhenUsed/>
    <w:qFormat/>
    <w:uiPriority w:val="99"/>
    <w:pPr>
      <w:tabs>
        <w:tab w:val="center" w:pos="4153"/>
        <w:tab w:val="right" w:pos="8306"/>
      </w:tabs>
      <w:snapToGrid w:val="0"/>
      <w:jc w:val="left"/>
    </w:pPr>
    <w:rPr>
      <w:sz w:val="18"/>
      <w:szCs w:val="18"/>
    </w:rPr>
  </w:style>
  <w:style w:type="paragraph" w:styleId="6">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annotation subject"/>
    <w:basedOn w:val="3"/>
    <w:next w:val="3"/>
    <w:link w:val="16"/>
    <w:semiHidden/>
    <w:unhideWhenUsed/>
    <w:qFormat/>
    <w:uiPriority w:val="99"/>
    <w:rPr>
      <w:b/>
      <w:bCs/>
    </w:rPr>
  </w:style>
  <w:style w:type="character" w:styleId="10">
    <w:name w:val="annotation reference"/>
    <w:basedOn w:val="9"/>
    <w:semiHidden/>
    <w:unhideWhenUsed/>
    <w:qFormat/>
    <w:uiPriority w:val="99"/>
    <w:rPr>
      <w:sz w:val="21"/>
      <w:szCs w:val="21"/>
    </w:rPr>
  </w:style>
  <w:style w:type="character" w:customStyle="1" w:styleId="11">
    <w:name w:val="页眉 Char"/>
    <w:basedOn w:val="9"/>
    <w:link w:val="6"/>
    <w:qFormat/>
    <w:uiPriority w:val="99"/>
    <w:rPr>
      <w:sz w:val="18"/>
      <w:szCs w:val="18"/>
    </w:rPr>
  </w:style>
  <w:style w:type="character" w:customStyle="1" w:styleId="12">
    <w:name w:val="页脚 Char"/>
    <w:basedOn w:val="9"/>
    <w:link w:val="5"/>
    <w:qFormat/>
    <w:uiPriority w:val="99"/>
    <w:rPr>
      <w:sz w:val="18"/>
      <w:szCs w:val="18"/>
    </w:rPr>
  </w:style>
  <w:style w:type="character" w:customStyle="1" w:styleId="13">
    <w:name w:val="标题 2 Char"/>
    <w:basedOn w:val="9"/>
    <w:link w:val="2"/>
    <w:qFormat/>
    <w:uiPriority w:val="0"/>
    <w:rPr>
      <w:rFonts w:ascii="Cambria" w:hAnsi="Cambria" w:eastAsia="黑体" w:cs="Times New Roman"/>
      <w:b/>
      <w:bCs/>
      <w:kern w:val="0"/>
      <w:sz w:val="36"/>
      <w:szCs w:val="32"/>
    </w:rPr>
  </w:style>
  <w:style w:type="paragraph" w:customStyle="1" w:styleId="14">
    <w:name w:val="修订1"/>
    <w:hidden/>
    <w:semiHidden/>
    <w:qFormat/>
    <w:uiPriority w:val="99"/>
    <w:rPr>
      <w:rFonts w:ascii="Times New Roman" w:hAnsi="Times New Roman" w:eastAsia="宋体" w:cs="Droid Sans"/>
      <w:kern w:val="2"/>
      <w:sz w:val="21"/>
      <w:szCs w:val="24"/>
      <w:lang w:val="en-US" w:eastAsia="zh-CN" w:bidi="ar-SA"/>
    </w:rPr>
  </w:style>
  <w:style w:type="character" w:customStyle="1" w:styleId="15">
    <w:name w:val="批注文字 Char"/>
    <w:basedOn w:val="9"/>
    <w:link w:val="3"/>
    <w:qFormat/>
    <w:uiPriority w:val="99"/>
    <w:rPr>
      <w:rFonts w:ascii="Times New Roman" w:hAnsi="Times New Roman" w:eastAsia="宋体" w:cs="Droid Sans"/>
      <w:szCs w:val="24"/>
    </w:rPr>
  </w:style>
  <w:style w:type="character" w:customStyle="1" w:styleId="16">
    <w:name w:val="批注主题 Char"/>
    <w:basedOn w:val="15"/>
    <w:link w:val="7"/>
    <w:semiHidden/>
    <w:qFormat/>
    <w:uiPriority w:val="99"/>
    <w:rPr>
      <w:rFonts w:ascii="Times New Roman" w:hAnsi="Times New Roman" w:eastAsia="宋体" w:cs="Droid Sans"/>
      <w:b/>
      <w:bCs/>
      <w:szCs w:val="24"/>
    </w:rPr>
  </w:style>
  <w:style w:type="paragraph" w:customStyle="1" w:styleId="17">
    <w:name w:val="pf0"/>
    <w:basedOn w:val="1"/>
    <w:qFormat/>
    <w:uiPriority w:val="0"/>
    <w:pPr>
      <w:widowControl/>
      <w:spacing w:before="100" w:beforeAutospacing="1" w:after="100" w:afterAutospacing="1"/>
      <w:jc w:val="left"/>
    </w:pPr>
    <w:rPr>
      <w:rFonts w:ascii="宋体" w:hAnsi="宋体" w:cs="宋体"/>
      <w:kern w:val="0"/>
      <w:sz w:val="24"/>
    </w:rPr>
  </w:style>
  <w:style w:type="character" w:customStyle="1" w:styleId="18">
    <w:name w:val="cf01"/>
    <w:basedOn w:val="9"/>
    <w:qFormat/>
    <w:uiPriority w:val="0"/>
    <w:rPr>
      <w:rFonts w:hint="eastAsia" w:ascii="Microsoft YaHei UI" w:hAnsi="Microsoft YaHei UI" w:eastAsia="Microsoft YaHei UI"/>
      <w:sz w:val="18"/>
      <w:szCs w:val="18"/>
    </w:rPr>
  </w:style>
  <w:style w:type="character" w:customStyle="1" w:styleId="19">
    <w:name w:val="批注框文本 Char"/>
    <w:basedOn w:val="9"/>
    <w:link w:val="4"/>
    <w:semiHidden/>
    <w:qFormat/>
    <w:uiPriority w:val="99"/>
    <w:rPr>
      <w:rFonts w:ascii="Times New Roman" w:hAnsi="Times New Roman" w:eastAsia="宋体" w:cs="Droid Sans"/>
      <w:kern w:val="2"/>
      <w:sz w:val="18"/>
      <w:szCs w:val="18"/>
    </w:rPr>
  </w:style>
  <w:style w:type="paragraph" w:customStyle="1" w:styleId="20">
    <w:name w:val="修订2"/>
    <w:hidden/>
    <w:semiHidden/>
    <w:qFormat/>
    <w:uiPriority w:val="99"/>
    <w:rPr>
      <w:rFonts w:ascii="Times New Roman" w:hAnsi="Times New Roman" w:eastAsia="宋体" w:cs="Droid Sans"/>
      <w:kern w:val="2"/>
      <w:sz w:val="21"/>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chart" Target="charts/chart2.xml"/><Relationship Id="rId5" Type="http://schemas.openxmlformats.org/officeDocument/2006/relationships/chart" Target="charts/chart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package" Target="../embeddings/Workbook2.xlsx"/></Relationships>
</file>

<file path=word/charts/_rels/chart2.xml.rels><?xml version="1.0" encoding="UTF-8" standalone="yes"?>
<Relationships xmlns="http://schemas.openxmlformats.org/package/2006/relationships"><Relationship Id="rId1" Type="http://schemas.openxmlformats.org/officeDocument/2006/relationships/package" Target="../embeddings/Workbook1.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layout/>
      <c:overlay val="0"/>
      <c:txPr>
        <a:bodyPr rot="0" spcFirstLastPara="0" vertOverflow="ellipsis" vert="horz" wrap="square" anchor="ctr" anchorCtr="1"/>
        <a:lstStyle/>
        <a:p>
          <a:pPr>
            <a:defRPr lang="zh-CN" sz="1200" b="0" i="0" u="none" strike="noStrike" kern="1200" baseline="0">
              <a:solidFill>
                <a:schemeClr val="tx1"/>
              </a:solidFill>
              <a:latin typeface="微软雅黑" panose="020B0503020204020204" charset="-122"/>
              <a:ea typeface="微软雅黑" panose="020B0503020204020204" charset="-122"/>
              <a:cs typeface="微软雅黑" panose="020B0503020204020204" charset="-122"/>
              <a:sym typeface="微软雅黑" panose="020B0503020204020204" charset="-122"/>
            </a:defRPr>
          </a:pPr>
        </a:p>
      </c:txPr>
    </c:title>
    <c:autoTitleDeleted val="0"/>
    <c:plotArea>
      <c:layout/>
      <c:pieChart>
        <c:varyColors val="1"/>
        <c:ser>
          <c:idx val="0"/>
          <c:order val="0"/>
          <c:tx>
            <c:strRef>
              <c:f>Sheet1!$B$1</c:f>
              <c:strCache>
                <c:ptCount val="1"/>
                <c:pt idx="0">
                  <c:v>收入预算</c:v>
                </c:pt>
              </c:strCache>
            </c:strRef>
          </c:tx>
          <c:explosion val="0"/>
          <c:dPt>
            <c:idx val="0"/>
            <c:bubble3D val="0"/>
          </c:dPt>
          <c:dPt>
            <c:idx val="1"/>
            <c:bubble3D val="0"/>
          </c:dPt>
          <c:dLbls>
            <c:dLbl>
              <c:idx val="0"/>
              <c:layout/>
              <c:numFmt formatCode="0.00%" sourceLinked="0"/>
              <c:spPr>
                <a:solidFill>
                  <a:schemeClr val="accent1"/>
                </a:solid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Cambria Math" panose="02040503050406030204" pitchFamily="18" charset="0"/>
                      <a:ea typeface="Cambria Math" panose="02040503050406030204" pitchFamily="18" charset="0"/>
                      <a:cs typeface="+mn-cs"/>
                    </a:defRPr>
                  </a:pPr>
                </a:p>
              </c:txPr>
              <c:dLblPos val="bestFit"/>
              <c:showLegendKey val="0"/>
              <c:showVal val="0"/>
              <c:showCatName val="0"/>
              <c:showSerName val="0"/>
              <c:showPercent val="1"/>
              <c:showBubbleSize val="0"/>
              <c:extLst>
                <c:ext xmlns:c15="http://schemas.microsoft.com/office/drawing/2012/chart" uri="{CE6537A1-D6FC-4f65-9D91-7224C49458BB}"/>
              </c:extLst>
            </c:dLbl>
            <c:numFmt formatCode="0.00%" sourceLinked="0"/>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Cambria Math" panose="02040503050406030204" pitchFamily="18" charset="0"/>
                    <a:ea typeface="Cambria Math" panose="02040503050406030204" pitchFamily="18" charset="0"/>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ext>
            </c:extLst>
          </c:dLbls>
          <c:cat>
            <c:strRef>
              <c:f>Sheet1!$A$2:$A$3</c:f>
              <c:strCache>
                <c:ptCount val="2"/>
                <c:pt idx="0">
                  <c:v>本年财政拨款收入</c:v>
                </c:pt>
                <c:pt idx="1">
                  <c:v>上年结转结余</c:v>
                </c:pt>
              </c:strCache>
            </c:strRef>
          </c:cat>
          <c:val>
            <c:numRef>
              <c:f>Sheet1!$B$2:$B$3</c:f>
              <c:numCache>
                <c:formatCode>General</c:formatCode>
                <c:ptCount val="2"/>
                <c:pt idx="0">
                  <c:v>1951.11</c:v>
                </c:pt>
                <c:pt idx="1">
                  <c:v>153.01</c:v>
                </c:pt>
              </c:numCache>
            </c:numRef>
          </c:val>
        </c:ser>
        <c:dLbls>
          <c:showLegendKey val="0"/>
          <c:showVal val="0"/>
          <c:showCatName val="0"/>
          <c:showSerName val="0"/>
          <c:showPercent val="0"/>
          <c:showBubbleSize val="0"/>
          <c:showLeaderLines val="1"/>
        </c:dLbls>
        <c:firstSliceAng val="0"/>
      </c:pieChart>
    </c:plotArea>
    <c:legend>
      <c:legendPos val="b"/>
      <c:legendEntry>
        <c:idx val="0"/>
        <c:txPr>
          <a:bodyPr rot="0" spcFirstLastPara="0" vertOverflow="ellipsis" vert="horz" wrap="square" anchor="ctr" anchorCtr="1"/>
          <a:lstStyle/>
          <a:p>
            <a:pPr>
              <a:defRPr lang="zh-CN" sz="1000" b="0" i="0" u="none" strike="noStrike" kern="1200" baseline="0">
                <a:solidFill>
                  <a:schemeClr val="tx1"/>
                </a:solidFill>
                <a:latin typeface="Cambria Math" panose="02040503050406030204" pitchFamily="18" charset="0"/>
                <a:ea typeface="Cambria Math" panose="02040503050406030204" pitchFamily="18" charset="0"/>
                <a:cs typeface="+mn-cs"/>
              </a:defRPr>
            </a:pPr>
          </a:p>
        </c:txPr>
      </c:legendEntry>
      <c:legendEntry>
        <c:idx val="1"/>
        <c:txPr>
          <a:bodyPr rot="0" spcFirstLastPara="0" vertOverflow="ellipsis" vert="horz" wrap="square" anchor="ctr" anchorCtr="1"/>
          <a:lstStyle/>
          <a:p>
            <a:pPr>
              <a:defRPr lang="zh-CN" sz="1000" b="0" i="0" u="none" strike="noStrike" kern="1200" baseline="0">
                <a:solidFill>
                  <a:schemeClr val="tx1"/>
                </a:solidFill>
                <a:latin typeface="Cambria Math" panose="02040503050406030204" pitchFamily="18" charset="0"/>
                <a:ea typeface="Cambria Math" panose="02040503050406030204" pitchFamily="18" charset="0"/>
                <a:cs typeface="+mn-cs"/>
              </a:defRPr>
            </a:pPr>
          </a:p>
        </c:txPr>
      </c:legendEntry>
      <c:layout/>
      <c:overlay val="0"/>
      <c:txPr>
        <a:bodyPr rot="0" spcFirstLastPara="0" vertOverflow="ellipsis" vert="horz" wrap="square" anchor="ctr" anchorCtr="1"/>
        <a:lstStyle/>
        <a:p>
          <a:pPr>
            <a:defRPr lang="zh-CN" sz="1000" b="0" i="0" u="none" strike="noStrike" kern="1200" baseline="0">
              <a:solidFill>
                <a:schemeClr val="tx1"/>
              </a:solidFill>
              <a:latin typeface="Cambria Math" panose="02040503050406030204" pitchFamily="18" charset="0"/>
              <a:ea typeface="Cambria Math" panose="02040503050406030204" pitchFamily="18" charset="0"/>
              <a:cs typeface="+mn-cs"/>
            </a:defRPr>
          </a:pPr>
        </a:p>
      </c:txPr>
    </c:legend>
    <c:plotVisOnly val="1"/>
    <c:dispBlanksAs val="gap"/>
    <c:showDLblsOverMax val="0"/>
  </c:chart>
  <c:spPr>
    <a:ln w="12700" cap="flat" cmpd="sng" algn="ctr">
      <a:solidFill>
        <a:schemeClr val="bg1">
          <a:lumMod val="85000"/>
        </a:schemeClr>
      </a:solidFill>
      <a:prstDash val="solid"/>
      <a:round/>
    </a:ln>
  </c:spPr>
  <c:txPr>
    <a:bodyPr/>
    <a:lstStyle/>
    <a:p>
      <a:pPr>
        <a:defRPr lang="zh-CN" b="0">
          <a:latin typeface="Cambria Math" panose="02040503050406030204" pitchFamily="18" charset="0"/>
          <a:ea typeface="Cambria Math" panose="02040503050406030204" pitchFamily="18" charset="0"/>
        </a:defRPr>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tx>
            <c:strRef>
              <c:f>Sheet1!$B$1</c:f>
              <c:strCache>
                <c:ptCount val="1"/>
                <c:pt idx="0">
                  <c:v>支出预算</c:v>
                </c:pt>
              </c:strCache>
            </c:strRef>
          </c:tx>
          <c:explosion val="0"/>
          <c:dPt>
            <c:idx val="0"/>
            <c:bubble3D val="0"/>
          </c:dPt>
          <c:dPt>
            <c:idx val="1"/>
            <c:bubble3D val="0"/>
          </c:dPt>
          <c:dLbls>
            <c:numFmt formatCode="0.00%" sourceLinked="0"/>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ext>
            </c:extLst>
          </c:dLbls>
          <c:cat>
            <c:strRef>
              <c:f>Sheet1!$A$2:$A$3</c:f>
              <c:strCache>
                <c:ptCount val="2"/>
                <c:pt idx="0">
                  <c:v>基本支出</c:v>
                </c:pt>
                <c:pt idx="1">
                  <c:v>项目支出</c:v>
                </c:pt>
              </c:strCache>
            </c:strRef>
          </c:cat>
          <c:val>
            <c:numRef>
              <c:f>Sheet1!$B$2:$B$3</c:f>
              <c:numCache>
                <c:formatCode>General</c:formatCode>
                <c:ptCount val="2"/>
                <c:pt idx="0">
                  <c:v>1527.86</c:v>
                </c:pt>
                <c:pt idx="1">
                  <c:v>576.26</c:v>
                </c:pt>
              </c:numCache>
            </c:numRef>
          </c:val>
        </c:ser>
        <c:dLbls>
          <c:showLegendKey val="0"/>
          <c:showVal val="0"/>
          <c:showCatName val="0"/>
          <c:showSerName val="0"/>
          <c:showPercent val="0"/>
          <c:showBubbleSize val="0"/>
          <c:showLeaderLines val="1"/>
        </c:dLbls>
        <c:firstSliceAng val="0"/>
      </c:pieChart>
    </c:plotArea>
    <c:legend>
      <c:legendPos val="b"/>
      <c:layout/>
      <c:overlay val="0"/>
      <c:txPr>
        <a:bodyPr rot="0" spcFirstLastPara="0" vertOverflow="ellipsis" vert="horz" wrap="square" anchor="ctr" anchorCtr="1"/>
        <a:lstStyle/>
        <a:p>
          <a:pPr>
            <a:defRPr lang="zh-CN" sz="1000" b="0" i="0" u="none" strike="noStrike" kern="1200" baseline="0">
              <a:solidFill>
                <a:schemeClr val="tx1"/>
              </a:solidFill>
              <a:latin typeface="宋体" panose="02010600030101010101" charset="-122"/>
              <a:ea typeface="宋体" panose="02010600030101010101" charset="-122"/>
              <a:cs typeface="+mn-cs"/>
            </a:defRPr>
          </a:pPr>
        </a:p>
      </c:txPr>
    </c:legend>
    <c:plotVisOnly val="1"/>
    <c:dispBlanksAs val="gap"/>
    <c:showDLblsOverMax val="0"/>
  </c:chart>
  <c:spPr>
    <a:ln w="12700" cap="flat" cmpd="sng" algn="ctr">
      <a:solidFill>
        <a:schemeClr val="bg1">
          <a:lumMod val="85000"/>
        </a:schemeClr>
      </a:solidFill>
      <a:prstDash val="solid"/>
      <a:round/>
    </a:ln>
  </c:spPr>
  <c:txPr>
    <a:bodyPr/>
    <a:lstStyle/>
    <a:p>
      <a:pPr>
        <a:defRPr lang="zh-CN"/>
      </a:pPr>
    </a:p>
  </c:txPr>
  <c:externalData r:id="rId1">
    <c:autoUpdate val="0"/>
  </c:externalData>
</c:chartSpac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177F18C-9FA4-4017-B70D-3F531276F999}">
  <ds:schemaRefs/>
</ds:datastoreItem>
</file>

<file path=docProps/app.xml><?xml version="1.0" encoding="utf-8"?>
<Properties xmlns="http://schemas.openxmlformats.org/officeDocument/2006/extended-properties" xmlns:vt="http://schemas.openxmlformats.org/officeDocument/2006/docPropsVTypes">
  <Template>Normal</Template>
  <Pages>7</Pages>
  <Words>396</Words>
  <Characters>2260</Characters>
  <Lines>18</Lines>
  <Paragraphs>5</Paragraphs>
  <TotalTime>0</TotalTime>
  <ScaleCrop>false</ScaleCrop>
  <LinksUpToDate>false</LinksUpToDate>
  <CharactersWithSpaces>2651</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2023-02-20T07:11:00Z</dcterms:created>
  <dc:creator>马 亚文</dc:creator>
  <cp:lastModifiedBy>leo-yao</cp:lastModifiedBy>
  <dcterms:modified xsi:type="dcterms:W3CDTF">2023-02-23T02:36:09Z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38539BC381E346DC91E766A7C325308E</vt:lpwstr>
  </property>
</Properties>
</file>