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s="Droid Sans"/>
          <w:color w:val="000000"/>
          <w:sz w:val="44"/>
          <w:szCs w:val="44"/>
        </w:rPr>
      </w:pPr>
      <w:bookmarkStart w:id="0" w:name="RiseOffice_title"/>
      <w:bookmarkStart w:id="1" w:name="biaoti"/>
      <w:r>
        <w:rPr>
          <w:rFonts w:hint="eastAsia" w:ascii="方正小标宋简体" w:eastAsia="方正小标宋简体" w:cs="Droid Sans"/>
          <w:color w:val="000000"/>
          <w:sz w:val="44"/>
          <w:szCs w:val="44"/>
        </w:rPr>
        <w:t>北京科技创新促进中心</w:t>
      </w:r>
    </w:p>
    <w:bookmarkEnd w:id="0"/>
    <w:bookmarkEnd w:id="1"/>
    <w:p>
      <w:pPr>
        <w:spacing w:line="560" w:lineRule="exact"/>
        <w:jc w:val="center"/>
        <w:rPr>
          <w:rFonts w:ascii="方正小标宋简体" w:eastAsia="方正小标宋简体" w:cs="Droid Sans"/>
          <w:color w:val="000000"/>
          <w:sz w:val="44"/>
          <w:szCs w:val="44"/>
        </w:rPr>
      </w:pPr>
      <w:r>
        <w:rPr>
          <w:rFonts w:hint="eastAsia" w:ascii="方正小标宋简体" w:eastAsia="方正小标宋简体" w:cs="Droid Sans"/>
          <w:color w:val="000000"/>
          <w:sz w:val="44"/>
          <w:szCs w:val="44"/>
        </w:rPr>
        <w:t>2024年度单位预算信息公开</w:t>
      </w:r>
    </w:p>
    <w:p>
      <w:pPr>
        <w:spacing w:line="560" w:lineRule="exact"/>
        <w:jc w:val="center"/>
        <w:rPr>
          <w:rFonts w:ascii="方正小标宋简体" w:eastAsia="方正小标宋简体" w:cs="Droid Sans"/>
          <w:color w:val="000000"/>
          <w:sz w:val="32"/>
          <w:szCs w:val="32"/>
        </w:rPr>
      </w:pPr>
    </w:p>
    <w:p>
      <w:pPr>
        <w:spacing w:line="560" w:lineRule="exact"/>
        <w:jc w:val="center"/>
        <w:rPr>
          <w:rFonts w:ascii="方正小标宋简体" w:eastAsia="方正小标宋简体" w:cs="Droid Sans"/>
          <w:color w:val="000000"/>
          <w:sz w:val="32"/>
          <w:szCs w:val="32"/>
        </w:rPr>
      </w:pPr>
      <w:r>
        <w:rPr>
          <w:rFonts w:hint="eastAsia" w:ascii="方正小标宋简体" w:eastAsia="方正小标宋简体" w:cs="Droid Sans"/>
          <w:color w:val="000000"/>
          <w:sz w:val="32"/>
          <w:szCs w:val="32"/>
        </w:rPr>
        <w:t>目   录</w:t>
      </w:r>
    </w:p>
    <w:p>
      <w:pPr>
        <w:keepNext/>
        <w:keepLines/>
        <w:outlineLvl w:val="1"/>
        <w:rPr>
          <w:rFonts w:ascii="Cambria" w:eastAsia="黑体" w:hAnsiTheme="majorHAnsi" w:cstheme="majorBidi"/>
          <w:b/>
          <w:bCs/>
          <w:color w:val="000000"/>
          <w:sz w:val="36"/>
          <w:szCs w:val="32"/>
        </w:rPr>
      </w:pPr>
    </w:p>
    <w:p>
      <w:pPr>
        <w:spacing w:line="560" w:lineRule="exact"/>
        <w:jc w:val="center"/>
        <w:rPr>
          <w:rFonts w:ascii="方正小标宋简体" w:eastAsia="方正小标宋简体" w:cs="Droid Sans"/>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2024年度单位预算情况说明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2024年度单位预算报表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8"/>
          <w:kern w:val="0"/>
          <w:sz w:val="32"/>
          <w:szCs w:val="32"/>
          <w:lang w:val="zh-CN"/>
        </w:rPr>
        <w:t>十</w:t>
      </w:r>
      <w:r>
        <w:rPr>
          <w:rFonts w:hint="eastAsia" w:ascii="仿宋_GB2312" w:hAnsi="仿宋_GB2312" w:eastAsia="仿宋_GB2312" w:cs="仿宋_GB2312"/>
          <w:color w:val="000000"/>
          <w:kern w:val="0"/>
          <w:sz w:val="32"/>
          <w:szCs w:val="32"/>
          <w:lang w:val="zh-CN"/>
        </w:rPr>
        <w:t>二、政府购买服务预算财政拨款明细表</w:t>
      </w:r>
    </w:p>
    <w:p>
      <w:pPr>
        <w:autoSpaceDE w:val="0"/>
        <w:autoSpaceDN w:val="0"/>
        <w:adjustRightInd w:val="0"/>
        <w:spacing w:line="560" w:lineRule="exact"/>
        <w:ind w:firstLine="566" w:firstLineChars="177"/>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rPr>
      </w:pP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rPr>
      </w:pP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rPr>
      </w:pP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rPr>
      </w:pP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rPr>
      </w:pPr>
    </w:p>
    <w:p>
      <w:pPr>
        <w:spacing w:line="560" w:lineRule="exact"/>
        <w:jc w:val="center"/>
        <w:rPr>
          <w:rFonts w:ascii="方正小标宋简体" w:eastAsia="方正小标宋简体" w:cs="Droid Sans"/>
          <w:color w:val="000000"/>
          <w:sz w:val="36"/>
          <w:szCs w:val="36"/>
        </w:rPr>
      </w:pPr>
    </w:p>
    <w:p>
      <w:pPr>
        <w:spacing w:line="560" w:lineRule="exact"/>
        <w:jc w:val="center"/>
        <w:rPr>
          <w:rFonts w:ascii="方正小标宋简体" w:eastAsia="方正小标宋简体"/>
          <w:color w:val="000000"/>
          <w:sz w:val="32"/>
          <w:szCs w:val="32"/>
        </w:rPr>
      </w:pPr>
      <w:bookmarkStart w:id="2" w:name="chaosong"/>
      <w:bookmarkEnd w:id="2"/>
      <w:r>
        <w:rPr>
          <w:rFonts w:hint="eastAsia" w:ascii="方正小标宋简体" w:eastAsia="方正小标宋简体"/>
          <w:color w:val="000000"/>
          <w:sz w:val="36"/>
          <w:szCs w:val="36"/>
        </w:rPr>
        <w:t>第一部分  2024年度单位预算情况说明</w:t>
      </w:r>
    </w:p>
    <w:p>
      <w:pPr>
        <w:spacing w:line="560" w:lineRule="exact"/>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根据中共北京市委机构编制委员会《关于市科委、中关村管委会所属事业单位改革有关事项的批复》（京编委〔2021〕66号）的文件，整合北京科技协作中心、北京工业设计促进中心、北京市科委农村发展中心、北京市可持续发展科技促进中心、北京市科技传播中心，组建北京科技创新促进中心</w:t>
      </w:r>
      <w:r>
        <w:rPr>
          <w:rFonts w:hint="eastAsia" w:ascii="仿宋_GB2312" w:eastAsia="仿宋_GB2312"/>
          <w:sz w:val="32"/>
          <w:szCs w:val="32"/>
        </w:rPr>
        <w:t>（以下简称“促进中心”）</w:t>
      </w:r>
      <w:r>
        <w:rPr>
          <w:rFonts w:hint="eastAsia" w:ascii="仿宋_GB2312" w:eastAsia="仿宋_GB2312"/>
          <w:color w:val="000000"/>
          <w:sz w:val="32"/>
          <w:szCs w:val="32"/>
        </w:rPr>
        <w:t>。促进中心是北京市科学技术委员会、中关村科技园区管理委员会所属公益一类事业单位。</w:t>
      </w:r>
    </w:p>
    <w:p>
      <w:pPr>
        <w:suppressAutoHyphens/>
        <w:spacing w:line="560" w:lineRule="exact"/>
        <w:ind w:firstLine="640" w:firstLineChars="200"/>
        <w:rPr>
          <w:b/>
          <w:bCs/>
        </w:rPr>
      </w:pPr>
      <w:r>
        <w:rPr>
          <w:rFonts w:hint="eastAsia" w:ascii="仿宋_GB2312" w:eastAsia="仿宋_GB2312"/>
          <w:sz w:val="32"/>
          <w:szCs w:val="32"/>
        </w:rPr>
        <w:t>促进中心主要职责是：</w:t>
      </w:r>
    </w:p>
    <w:p>
      <w:pPr>
        <w:suppressAutoHyphens/>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1.承担本市科技创新促进方面的技术性事务性工作，为国际科技创新中心建设提供支持服务。</w:t>
      </w:r>
    </w:p>
    <w:p>
      <w:pPr>
        <w:suppressAutoHyphens/>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2.承担在京中央企业和科研机构的联络服务工作，支持引导科技创新领域布局和成果转化落地。</w:t>
      </w:r>
    </w:p>
    <w:p>
      <w:pPr>
        <w:suppressAutoHyphens/>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3.承担区域科技合作和京津冀科技协同创新的事务性工作，拓展京津冀创新链、产业链发展的战略纵深，承担京津冀协同创新项目管理有关具体工作。</w:t>
      </w:r>
    </w:p>
    <w:p>
      <w:pPr>
        <w:suppressAutoHyphens/>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4.承担城市、农业农村、工业设计、文化、科技服务业等领域科技创新方面的布局研究、项目凝练、项目管理、创新主体联络服务等事务性工作。</w:t>
      </w:r>
    </w:p>
    <w:p>
      <w:pPr>
        <w:suppressAutoHyphens/>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5.承担</w:t>
      </w:r>
      <w:r>
        <w:rPr>
          <w:rFonts w:hint="eastAsia" w:ascii="仿宋_GB2312" w:hAnsi="Calibri" w:eastAsia="仿宋_GB2312" w:cs="Times New Roman"/>
          <w:sz w:val="32"/>
          <w:szCs w:val="32"/>
          <w:lang w:val="en-US" w:eastAsia="zh-CN"/>
        </w:rPr>
        <w:t>新型领域</w:t>
      </w:r>
      <w:r>
        <w:rPr>
          <w:rFonts w:hint="eastAsia" w:ascii="仿宋_GB2312" w:hAnsi="Calibri" w:eastAsia="仿宋_GB2312" w:cs="Times New Roman"/>
          <w:sz w:val="32"/>
          <w:szCs w:val="32"/>
        </w:rPr>
        <w:t>方面的技术需求对接、产品推广服务、科研资源共享等技术性事务性工作。</w:t>
      </w:r>
    </w:p>
    <w:p>
      <w:pPr>
        <w:suppressAutoHyphens/>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6.承担本市科技资源共享、科技志愿服务，以及新型研发机构管理、科技金融服务等方面事务性工作。</w:t>
      </w:r>
    </w:p>
    <w:p>
      <w:pPr>
        <w:suppressAutoHyphens/>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7.承担本市可持续发展科技促进工作，具体联系联合国教科文组织国际创意与可持续发展中心。</w:t>
      </w:r>
    </w:p>
    <w:p>
      <w:pPr>
        <w:suppressAutoHyphens/>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8.承担科技融媒体等科技信息传播工作，承担国际科技创新中心融媒体平台建设、科技舆情监测等事务性工作，承担科普管理相关工作和市科普联席会议办公室日常工作。</w:t>
      </w:r>
    </w:p>
    <w:p>
      <w:pPr>
        <w:spacing w:line="560" w:lineRule="exact"/>
        <w:ind w:firstLine="640" w:firstLineChars="200"/>
        <w:rPr>
          <w:rFonts w:ascii="楷体_GB2312" w:eastAsia="楷体_GB2312"/>
          <w:color w:val="000000"/>
          <w:sz w:val="32"/>
          <w:szCs w:val="32"/>
        </w:rPr>
      </w:pPr>
      <w:r>
        <w:rPr>
          <w:rFonts w:hint="eastAsia" w:ascii="仿宋_GB2312" w:hAnsi="Calibri" w:eastAsia="仿宋_GB2312" w:cs="Times New Roman"/>
          <w:sz w:val="32"/>
          <w:szCs w:val="32"/>
        </w:rPr>
        <w:t>9.</w:t>
      </w:r>
      <w:r>
        <w:rPr>
          <w:rFonts w:ascii="仿宋_GB2312" w:hAnsi="Calibri" w:eastAsia="仿宋_GB2312" w:cs="Times New Roman"/>
          <w:sz w:val="32"/>
          <w:szCs w:val="32"/>
        </w:rPr>
        <w:t>完成市科委、中关村管委会交办的其他任务。</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uppressAutoHyphens/>
        <w:spacing w:line="560" w:lineRule="exact"/>
        <w:ind w:firstLine="640" w:firstLineChars="200"/>
        <w:rPr>
          <w:rFonts w:hint="eastAsia" w:ascii="仿宋_GB2312" w:hAnsi="Calibri" w:eastAsia="仿宋_GB2312" w:cs="Times New Roman"/>
          <w:sz w:val="32"/>
          <w:szCs w:val="32"/>
        </w:rPr>
      </w:pPr>
      <w:r>
        <w:rPr>
          <w:rFonts w:hint="eastAsia" w:ascii="仿宋_GB2312" w:hAnsi="Calibri" w:eastAsia="仿宋_GB2312" w:cs="Times New Roman"/>
          <w:sz w:val="32"/>
          <w:szCs w:val="32"/>
        </w:rPr>
        <w:t>促进中心内设1</w:t>
      </w:r>
      <w:r>
        <w:rPr>
          <w:rFonts w:hint="eastAsia" w:ascii="仿宋_GB2312" w:hAnsi="Calibri" w:eastAsia="仿宋_GB2312" w:cs="Times New Roman"/>
          <w:sz w:val="32"/>
          <w:szCs w:val="32"/>
          <w:lang w:val="en-US" w:eastAsia="zh-CN"/>
        </w:rPr>
        <w:t>2</w:t>
      </w:r>
      <w:r>
        <w:rPr>
          <w:rFonts w:hint="eastAsia" w:ascii="仿宋_GB2312" w:hAnsi="Calibri" w:eastAsia="仿宋_GB2312" w:cs="Times New Roman"/>
          <w:sz w:val="32"/>
          <w:szCs w:val="32"/>
        </w:rPr>
        <w:t>个部门，分别为：办公室(研究室)、央企联络部、区域科技合作部(京津冀科技创新部)、科研机构管理部、科技金融部、城市科技部、农业农村科技部、文化科技与科普工作部(工业设计部)、科技服务业部、科技融媒体部、财务部、党群工作与人力资源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ascii="仿宋_GB2312" w:eastAsia="仿宋_GB2312"/>
          <w:sz w:val="32"/>
          <w:szCs w:val="32"/>
        </w:rPr>
      </w:pPr>
      <w:r>
        <w:rPr>
          <w:rFonts w:hint="eastAsia" w:ascii="仿宋_GB2312" w:eastAsia="仿宋_GB2312" w:cs="Droid Sans"/>
          <w:sz w:val="32"/>
          <w:szCs w:val="32"/>
        </w:rPr>
        <w:t>促进中心</w:t>
      </w:r>
      <w:r>
        <w:rPr>
          <w:rFonts w:hint="eastAsia" w:ascii="仿宋_GB2312" w:eastAsia="仿宋_GB2312"/>
          <w:sz w:val="32"/>
          <w:szCs w:val="32"/>
        </w:rPr>
        <w:t>行政编制0人，实有人数0人；事业编制120人，实有人数11</w:t>
      </w:r>
      <w:r>
        <w:rPr>
          <w:rFonts w:hint="eastAsia" w:ascii="仿宋_GB2312" w:eastAsia="仿宋_GB2312"/>
          <w:sz w:val="32"/>
          <w:szCs w:val="32"/>
          <w:lang w:val="en-US" w:eastAsia="zh-CN"/>
        </w:rPr>
        <w:t>0</w:t>
      </w:r>
      <w:r>
        <w:rPr>
          <w:rFonts w:hint="eastAsia" w:ascii="仿宋_GB2312" w:eastAsia="仿宋_GB2312"/>
          <w:sz w:val="32"/>
          <w:szCs w:val="32"/>
        </w:rPr>
        <w:t>人，</w:t>
      </w:r>
      <w:r>
        <w:rPr>
          <w:rFonts w:hint="eastAsia" w:ascii="仿宋_GB2312" w:eastAsia="仿宋_GB2312" w:cs="Droid Sans"/>
          <w:sz w:val="32"/>
          <w:szCs w:val="32"/>
        </w:rPr>
        <w:t>聘用人员0人</w:t>
      </w:r>
      <w:r>
        <w:rPr>
          <w:rFonts w:hint="eastAsia" w:ascii="仿宋_GB2312" w:eastAsia="仿宋_GB2312"/>
          <w:sz w:val="32"/>
          <w:szCs w:val="32"/>
        </w:rPr>
        <w:t>；</w:t>
      </w:r>
      <w:r>
        <w:rPr>
          <w:rFonts w:hint="eastAsia" w:ascii="仿宋_GB2312" w:eastAsia="仿宋_GB2312" w:cs="Droid Sans"/>
          <w:sz w:val="32"/>
          <w:szCs w:val="32"/>
        </w:rPr>
        <w:t>离退休人员7</w:t>
      </w:r>
      <w:r>
        <w:rPr>
          <w:rFonts w:hint="eastAsia" w:ascii="仿宋_GB2312" w:eastAsia="仿宋_GB2312" w:cs="Droid Sans"/>
          <w:sz w:val="32"/>
          <w:szCs w:val="32"/>
          <w:lang w:val="en-US" w:eastAsia="zh-CN"/>
        </w:rPr>
        <w:t>9</w:t>
      </w:r>
      <w:r>
        <w:rPr>
          <w:rFonts w:hint="eastAsia" w:ascii="仿宋_GB2312" w:eastAsia="仿宋_GB2312" w:cs="Droid Sans"/>
          <w:sz w:val="32"/>
          <w:szCs w:val="32"/>
        </w:rPr>
        <w:t>人，其中：离休0人，退休71人。</w:t>
      </w:r>
      <w:bookmarkStart w:id="3" w:name="_GoBack"/>
      <w:bookmarkEnd w:id="3"/>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二、收入预算情况说明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2024年度收入预算6,835.82万元，比2023年年初预算数</w:t>
      </w:r>
      <w:r>
        <w:rPr>
          <w:rFonts w:ascii="仿宋_GB2312" w:eastAsia="仿宋_GB2312"/>
          <w:sz w:val="32"/>
          <w:szCs w:val="32"/>
        </w:rPr>
        <w:t>8,290.47</w:t>
      </w:r>
      <w:r>
        <w:rPr>
          <w:rFonts w:hint="eastAsia" w:ascii="仿宋_GB2312" w:eastAsia="仿宋_GB2312"/>
          <w:sz w:val="32"/>
          <w:szCs w:val="32"/>
        </w:rPr>
        <w:t>万元减少1,454.65万元，下降17.55%。主要原因是根据工作安排，减少项目经费预算。</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w:t>
      </w:r>
      <w:r>
        <w:rPr>
          <w:rFonts w:hint="eastAsia" w:ascii="仿宋_GB2312" w:eastAsia="仿宋_GB2312"/>
          <w:sz w:val="32"/>
          <w:szCs w:val="32"/>
        </w:rPr>
        <w:t>6,835.82</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1.一般公共预算拨款收入6,835.82万元。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w:t>
      </w:r>
      <w:r>
        <w:rPr>
          <w:rFonts w:hint="eastAsia" w:ascii="仿宋_GB2312" w:eastAsia="仿宋_GB2312"/>
          <w:color w:val="000000"/>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w:t>
      </w:r>
      <w:r>
        <w:rPr>
          <w:rFonts w:hint="eastAsia" w:ascii="仿宋_GB2312" w:eastAsia="仿宋_GB2312"/>
          <w:color w:val="000000"/>
          <w:sz w:val="32"/>
          <w:szCs w:val="32"/>
        </w:rPr>
        <w:t>0.00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w:t>
      </w:r>
      <w:r>
        <w:rPr>
          <w:rFonts w:hint="eastAsia" w:ascii="仿宋_GB2312" w:eastAsia="仿宋_GB2312"/>
          <w:color w:val="000000"/>
          <w:sz w:val="32"/>
          <w:szCs w:val="32"/>
        </w:rPr>
        <w:t>0.00</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w:t>
      </w:r>
      <w:r>
        <w:rPr>
          <w:rFonts w:hint="eastAsia" w:ascii="仿宋_GB2312" w:eastAsia="仿宋_GB2312"/>
          <w:color w:val="000000"/>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w:t>
      </w:r>
      <w:r>
        <w:rPr>
          <w:rFonts w:hint="eastAsia" w:ascii="仿宋_GB2312" w:eastAsia="仿宋_GB2312"/>
          <w:color w:val="000000"/>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w:t>
      </w:r>
      <w:r>
        <w:rPr>
          <w:rFonts w:hint="eastAsia" w:ascii="仿宋_GB2312" w:eastAsia="仿宋_GB2312"/>
          <w:color w:val="000000"/>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w:t>
      </w:r>
      <w:r>
        <w:rPr>
          <w:rFonts w:hint="eastAsia" w:ascii="仿宋_GB2312" w:eastAsia="仿宋_GB2312"/>
          <w:color w:val="000000"/>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w:t>
      </w:r>
      <w:r>
        <w:rPr>
          <w:rFonts w:hint="eastAsia" w:ascii="仿宋_GB2312" w:eastAsia="仿宋_GB2312"/>
          <w:color w:val="000000"/>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w:t>
      </w:r>
      <w:r>
        <w:rPr>
          <w:rFonts w:hint="eastAsia" w:ascii="仿宋_GB2312" w:eastAsia="仿宋_GB2312"/>
          <w:color w:val="000000"/>
          <w:sz w:val="32"/>
          <w:szCs w:val="32"/>
        </w:rPr>
        <w:t>0.00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w:t>
      </w:r>
      <w:r>
        <w:rPr>
          <w:rFonts w:hint="eastAsia" w:ascii="仿宋_GB2312" w:eastAsia="仿宋_GB2312"/>
          <w:color w:val="000000"/>
          <w:sz w:val="32"/>
          <w:szCs w:val="32"/>
        </w:rPr>
        <w:t>0.00</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w:t>
      </w:r>
      <w:r>
        <w:rPr>
          <w:rFonts w:hint="eastAsia" w:ascii="仿宋_GB2312" w:eastAsia="仿宋_GB2312"/>
          <w:color w:val="000000"/>
          <w:sz w:val="32"/>
          <w:szCs w:val="32"/>
        </w:rPr>
        <w:t>0.00</w:t>
      </w:r>
      <w:r>
        <w:rPr>
          <w:rFonts w:hint="eastAsia" w:ascii="仿宋_GB2312" w:eastAsia="仿宋_GB2312"/>
          <w:sz w:val="32"/>
          <w:szCs w:val="32"/>
        </w:rPr>
        <w:t>万元。</w:t>
      </w:r>
    </w:p>
    <w:p>
      <w:pPr>
        <w:pStyle w:val="2"/>
        <w:jc w:val="center"/>
      </w:pPr>
      <w:r>
        <w:drawing>
          <wp:anchor distT="0" distB="0" distL="114300" distR="114300" simplePos="0" relativeHeight="251661312" behindDoc="1" locked="0" layoutInCell="1" allowOverlap="1">
            <wp:simplePos x="0" y="0"/>
            <wp:positionH relativeFrom="column">
              <wp:posOffset>495300</wp:posOffset>
            </wp:positionH>
            <wp:positionV relativeFrom="paragraph">
              <wp:posOffset>213360</wp:posOffset>
            </wp:positionV>
            <wp:extent cx="4655820" cy="2740025"/>
            <wp:effectExtent l="19050" t="19050" r="11430" b="22225"/>
            <wp:wrapTight wrapText="bothSides">
              <wp:wrapPolygon>
                <wp:start x="-88" y="-150"/>
                <wp:lineTo x="-88" y="21625"/>
                <wp:lineTo x="21565" y="21625"/>
                <wp:lineTo x="21565" y="-150"/>
                <wp:lineTo x="-88" y="-150"/>
              </wp:wrapPolygon>
            </wp:wrapTight>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4655820" cy="2740025"/>
                    </a:xfrm>
                    <a:prstGeom prst="rect">
                      <a:avLst/>
                    </a:prstGeom>
                    <a:ln>
                      <a:solidFill>
                        <a:schemeClr val="tx1"/>
                      </a:solidFill>
                    </a:ln>
                  </pic:spPr>
                </pic:pic>
              </a:graphicData>
            </a:graphic>
          </wp:anchor>
        </w:drawing>
      </w:r>
    </w:p>
    <w:p>
      <w:pPr>
        <w:pStyle w:val="2"/>
        <w:jc w:val="center"/>
        <w:rPr>
          <w:rFonts w:ascii="仿宋_GB2312" w:eastAsia="仿宋_GB2312"/>
        </w:rPr>
      </w:pPr>
    </w:p>
    <w:p>
      <w:pPr>
        <w:pStyle w:val="2"/>
        <w:jc w:val="center"/>
        <w:rPr>
          <w:rFonts w:ascii="仿宋_GB2312" w:eastAsia="仿宋_GB2312"/>
        </w:rPr>
      </w:pPr>
    </w:p>
    <w:p>
      <w:pPr>
        <w:pStyle w:val="2"/>
        <w:jc w:val="center"/>
        <w:rPr>
          <w:rFonts w:ascii="仿宋_GB2312" w:eastAsia="仿宋_GB2312"/>
        </w:rPr>
      </w:pPr>
    </w:p>
    <w:p>
      <w:pPr>
        <w:pStyle w:val="2"/>
        <w:jc w:val="center"/>
        <w:rPr>
          <w:rFonts w:ascii="仿宋_GB2312" w:eastAsia="仿宋_GB2312"/>
        </w:rPr>
      </w:pPr>
    </w:p>
    <w:p>
      <w:pPr>
        <w:pStyle w:val="2"/>
        <w:jc w:val="center"/>
        <w:rPr>
          <w:rFonts w:ascii="仿宋_GB2312" w:eastAsia="仿宋_GB2312"/>
          <w:b w:val="0"/>
          <w:bCs w:val="0"/>
        </w:rPr>
      </w:pPr>
      <w:r>
        <w:rPr>
          <w:rFonts w:hint="eastAsia" w:ascii="仿宋_GB2312" w:eastAsia="仿宋_GB2312"/>
        </w:rPr>
        <w:t>图1：收入预算</w:t>
      </w:r>
    </w:p>
    <w:p>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2024年支出预算6,835.82万元，比2023年年初预算数</w:t>
      </w:r>
      <w:r>
        <w:rPr>
          <w:rFonts w:ascii="仿宋_GB2312" w:eastAsia="仿宋_GB2312"/>
          <w:sz w:val="32"/>
          <w:szCs w:val="32"/>
        </w:rPr>
        <w:t>8,290.47</w:t>
      </w:r>
      <w:r>
        <w:rPr>
          <w:rFonts w:hint="eastAsia" w:ascii="仿宋_GB2312" w:eastAsia="仿宋_GB2312"/>
          <w:sz w:val="32"/>
          <w:szCs w:val="32"/>
        </w:rPr>
        <w:t>万元减少1,454.65万元，下降17.55%。主要原因是（1）基本支出：职务职级调整、工龄增加、社保基数调整导致人员经费增长；（2）项目支出：根据工作安排，减少项目经费预算。</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基本支出预算5,302.51万元，占总支出预算77.57%，比2023年年初预算数</w:t>
      </w:r>
      <w:r>
        <w:rPr>
          <w:rFonts w:ascii="仿宋_GB2312" w:eastAsia="仿宋_GB2312"/>
          <w:sz w:val="32"/>
          <w:szCs w:val="32"/>
        </w:rPr>
        <w:t>5,107.82</w:t>
      </w:r>
      <w:r>
        <w:rPr>
          <w:rFonts w:hint="eastAsia" w:ascii="仿宋_GB2312" w:eastAsia="仿宋_GB2312"/>
          <w:sz w:val="32"/>
          <w:szCs w:val="32"/>
        </w:rPr>
        <w:t>万元增加194.69万元，增长3.81%。</w:t>
      </w:r>
    </w:p>
    <w:p>
      <w:pPr>
        <w:spacing w:line="560" w:lineRule="exact"/>
        <w:ind w:firstLine="640" w:firstLineChars="20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项目支出预算1,533.31万元，比2023年年初预算数3</w:t>
      </w:r>
      <w:r>
        <w:rPr>
          <w:rFonts w:ascii="仿宋_GB2312" w:eastAsia="仿宋_GB2312"/>
          <w:sz w:val="32"/>
          <w:szCs w:val="32"/>
        </w:rPr>
        <w:t>,</w:t>
      </w:r>
      <w:r>
        <w:rPr>
          <w:rFonts w:hint="eastAsia" w:ascii="仿宋_GB2312" w:eastAsia="仿宋_GB2312"/>
          <w:sz w:val="32"/>
          <w:szCs w:val="32"/>
        </w:rPr>
        <w:t>182.65万元减少1,649.34万元，下降51.82%。其中：</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1.事业单位经营支出</w:t>
      </w:r>
      <w:r>
        <w:rPr>
          <w:rFonts w:hint="eastAsia" w:ascii="仿宋_GB2312" w:eastAsia="仿宋_GB2312"/>
          <w:color w:val="000000"/>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2.上缴上级支出</w:t>
      </w:r>
      <w:r>
        <w:rPr>
          <w:rFonts w:hint="eastAsia" w:ascii="仿宋_GB2312" w:eastAsia="仿宋_GB2312"/>
          <w:color w:val="000000"/>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3.对附属单位补助支出</w:t>
      </w:r>
      <w:r>
        <w:rPr>
          <w:rFonts w:hint="eastAsia" w:ascii="仿宋_GB2312" w:eastAsia="仿宋_GB2312"/>
          <w:color w:val="000000"/>
          <w:sz w:val="32"/>
          <w:szCs w:val="32"/>
        </w:rPr>
        <w:t>0.00</w:t>
      </w:r>
      <w:r>
        <w:rPr>
          <w:rFonts w:hint="eastAsia" w:ascii="仿宋_GB2312" w:eastAsia="仿宋_GB2312"/>
          <w:sz w:val="32"/>
          <w:szCs w:val="32"/>
        </w:rPr>
        <w:t>万元。</w:t>
      </w:r>
    </w:p>
    <w:p>
      <w:pPr>
        <w:pStyle w:val="2"/>
        <w:ind w:firstLine="642"/>
        <w:jc w:val="center"/>
      </w:pPr>
      <w:r>
        <w:drawing>
          <wp:anchor distT="0" distB="0" distL="114300" distR="114300" simplePos="0" relativeHeight="251660288" behindDoc="0" locked="0" layoutInCell="1" allowOverlap="1">
            <wp:simplePos x="0" y="0"/>
            <wp:positionH relativeFrom="column">
              <wp:posOffset>541020</wp:posOffset>
            </wp:positionH>
            <wp:positionV relativeFrom="paragraph">
              <wp:posOffset>326390</wp:posOffset>
            </wp:positionV>
            <wp:extent cx="4585970" cy="2761615"/>
            <wp:effectExtent l="19050" t="19050" r="24130" b="1968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4585970" cy="2761615"/>
                    </a:xfrm>
                    <a:prstGeom prst="rect">
                      <a:avLst/>
                    </a:prstGeom>
                    <a:ln>
                      <a:solidFill>
                        <a:schemeClr val="tx1"/>
                      </a:solidFill>
                    </a:ln>
                  </pic:spPr>
                </pic:pic>
              </a:graphicData>
            </a:graphic>
          </wp:anchor>
        </w:drawing>
      </w:r>
    </w:p>
    <w:p>
      <w:pPr>
        <w:pStyle w:val="2"/>
        <w:ind w:firstLine="642"/>
        <w:jc w:val="center"/>
      </w:pPr>
    </w:p>
    <w:p>
      <w:pPr>
        <w:pStyle w:val="2"/>
        <w:ind w:firstLine="642"/>
        <w:jc w:val="center"/>
      </w:pPr>
    </w:p>
    <w:p>
      <w:pPr>
        <w:pStyle w:val="2"/>
        <w:ind w:firstLine="642"/>
        <w:jc w:val="center"/>
      </w:pPr>
    </w:p>
    <w:p>
      <w:pPr>
        <w:pStyle w:val="2"/>
        <w:ind w:firstLine="642"/>
        <w:jc w:val="center"/>
      </w:pPr>
    </w:p>
    <w:p>
      <w:pPr>
        <w:pStyle w:val="2"/>
        <w:ind w:firstLine="642"/>
        <w:jc w:val="center"/>
      </w:pPr>
      <w:r>
        <w:rPr>
          <w:rFonts w:hint="eastAsia" w:ascii="仿宋_GB2312" w:eastAsia="仿宋_GB2312"/>
        </w:rPr>
        <w:t>图2：基本支出和项目支出情况</w:t>
      </w:r>
    </w:p>
    <w:p>
      <w:pPr>
        <w:numPr>
          <w:ilvl w:val="0"/>
          <w:numId w:val="1"/>
        </w:numPr>
        <w:spacing w:line="56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年终结转结余资金0.00万元</w:t>
      </w: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spacing w:line="560" w:lineRule="exact"/>
        <w:ind w:firstLine="640" w:firstLineChars="200"/>
        <w:rPr>
          <w:rFonts w:ascii="楷体_GB2312" w:eastAsia="楷体_GB2312"/>
          <w:sz w:val="32"/>
          <w:szCs w:val="32"/>
        </w:rPr>
      </w:pPr>
      <w:r>
        <w:rPr>
          <w:rFonts w:hint="eastAsia" w:ascii="仿宋_GB2312" w:eastAsia="仿宋_GB2312"/>
          <w:sz w:val="32"/>
          <w:szCs w:val="32"/>
        </w:rPr>
        <w:t>促进中心因公出国（境）费用、公务接待费、公务用车购置和运行维护费开支单位包括1个事业单位，无所属单位。</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（二）财政拨款“三公”经费预算情况说明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2024年财政拨款“三公”经费预算19.19万元，比2023年财政拨款“三公”经费预算减少0.48万元。其中：</w:t>
      </w:r>
    </w:p>
    <w:p>
      <w:pPr>
        <w:spacing w:line="560" w:lineRule="exact"/>
        <w:ind w:firstLine="640" w:firstLineChars="200"/>
        <w:rPr>
          <w:rFonts w:ascii="仿宋_GB2312" w:hAnsi="Calibri" w:eastAsia="仿宋_GB2312" w:cs="Times New Roman"/>
          <w:sz w:val="32"/>
          <w:szCs w:val="32"/>
        </w:rPr>
      </w:pPr>
      <w:r>
        <w:rPr>
          <w:rFonts w:hint="eastAsia" w:ascii="仿宋_GB2312" w:eastAsia="仿宋_GB2312"/>
          <w:sz w:val="32"/>
          <w:szCs w:val="32"/>
        </w:rPr>
        <w:t>1.因公出国（境）费用。2024年预算数0.00万元，</w:t>
      </w:r>
      <w:r>
        <w:rPr>
          <w:rFonts w:hint="eastAsia" w:ascii="仿宋_GB2312" w:hAnsi="Calibri" w:eastAsia="仿宋_GB2312" w:cs="Times New Roman"/>
          <w:sz w:val="32"/>
          <w:szCs w:val="32"/>
        </w:rPr>
        <w:t>与2023年</w:t>
      </w:r>
      <w:r>
        <w:rPr>
          <w:rFonts w:hint="eastAsia" w:ascii="仿宋_GB2312" w:eastAsia="仿宋_GB2312"/>
          <w:sz w:val="32"/>
          <w:szCs w:val="32"/>
        </w:rPr>
        <w:t>年初预算数</w:t>
      </w:r>
      <w:r>
        <w:rPr>
          <w:rFonts w:hint="eastAsia" w:ascii="仿宋_GB2312" w:hAnsi="Calibri" w:eastAsia="仿宋_GB2312" w:cs="Times New Roman"/>
          <w:sz w:val="32"/>
          <w:szCs w:val="32"/>
        </w:rPr>
        <w:t>持平。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公务接待费。2024年预算数1.69万元，比2023年年初预算数2.17万元减少0.48万元，主要原因：落实政府“过紧日子、厉行节约”的预算总体要求，进一步压减一般性支出。2024年公务接待费主要用于接待相关单位考察调研、学习交流等公务活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公务用车购置和运行维护费。2024年预算数17.50万元，包括：公务用车购置费2024年预算数0.00万元，与2023年年初预算数持平；公务用车运行维护费2024年预算数17.50万元，其中：公务用车燃油9.28万元，公务用车维修2.98万元，公务用车保险2.97万元，其他支出2.27万元。公务用车运行维护费2024年预算数与2023年年初预算数持平。</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2024年促进中心政府采购预算总额438.30万元，其中：政府采购货物预算6.00万元，政府采购工程预算0.00万元，政府采购服务预算432.30万元。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uppressAutoHyphens/>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本单位不属于政府购买服务购买主体。</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uppressAutoHyphens/>
        <w:spacing w:line="560" w:lineRule="exact"/>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本单位不在机关运行经费统计范围之内。</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2024年促进中心填报绩效目标的预算项目</w:t>
      </w:r>
      <w:r>
        <w:rPr>
          <w:rFonts w:ascii="仿宋_GB2312" w:eastAsia="仿宋_GB2312"/>
          <w:sz w:val="32"/>
          <w:szCs w:val="32"/>
        </w:rPr>
        <w:t>5</w:t>
      </w:r>
      <w:r>
        <w:rPr>
          <w:rFonts w:hint="eastAsia" w:ascii="仿宋_GB2312" w:eastAsia="仿宋_GB2312"/>
          <w:sz w:val="32"/>
          <w:szCs w:val="32"/>
        </w:rPr>
        <w:t>个，占全部预算项目</w:t>
      </w:r>
      <w:r>
        <w:rPr>
          <w:rFonts w:ascii="仿宋_GB2312" w:eastAsia="仿宋_GB2312"/>
          <w:sz w:val="32"/>
          <w:szCs w:val="32"/>
        </w:rPr>
        <w:t>5</w:t>
      </w:r>
      <w:r>
        <w:rPr>
          <w:rFonts w:hint="eastAsia" w:ascii="仿宋_GB2312" w:eastAsia="仿宋_GB2312"/>
          <w:sz w:val="32"/>
          <w:szCs w:val="32"/>
        </w:rPr>
        <w:t>个的</w:t>
      </w:r>
      <w:r>
        <w:rPr>
          <w:rFonts w:ascii="仿宋_GB2312" w:eastAsia="仿宋_GB2312"/>
          <w:sz w:val="32"/>
          <w:szCs w:val="32"/>
        </w:rPr>
        <w:t>100</w:t>
      </w:r>
      <w:r>
        <w:rPr>
          <w:rFonts w:hint="eastAsia" w:ascii="仿宋_GB2312" w:eastAsia="仿宋_GB2312"/>
          <w:sz w:val="32"/>
          <w:szCs w:val="32"/>
        </w:rPr>
        <w:t>%。填报绩效目标的项目支出预算1,533.31万元，占本单位全部项目支出预算的100%。</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pPr>
        <w:suppressAutoHyphens/>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本单位2024年无重点行政事业性收费。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本单位2024</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截至2023年底，促进中心共有车辆0台，共计0.00万元；单位价值50万元以上的设备0台（套）、共计0.00万元。2024年预算安排中，购置单位价值50万元以上的设备0台（套），共计0万元。</w:t>
      </w:r>
    </w:p>
    <w:p>
      <w:pPr>
        <w:spacing w:line="560" w:lineRule="exact"/>
        <w:ind w:firstLine="640" w:firstLineChars="200"/>
        <w:rPr>
          <w:rFonts w:ascii="仿宋_GB2312" w:eastAsia="仿宋_GB2312"/>
          <w:color w:val="000000"/>
          <w:spacing w:val="-2"/>
          <w:sz w:val="32"/>
          <w:szCs w:val="32"/>
        </w:rPr>
      </w:pPr>
      <w:r>
        <w:rPr>
          <w:rFonts w:hint="eastAsia" w:asci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eastAsia="仿宋_GB2312"/>
          <w:color w:val="000000"/>
          <w:sz w:val="32"/>
          <w:szCs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2024年度单位预算报表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附件：北京科技创新促进中心2024年度单位预算报表</w:t>
      </w:r>
      <w:r>
        <w:rPr>
          <w:rFonts w:hint="eastAsia" w:ascii="仿宋_GB2312" w:eastAsia="仿宋_GB2312" w:cs="宋体"/>
          <w:color w:val="000000"/>
          <w:kern w:val="0"/>
          <w:sz w:val="32"/>
          <w:szCs w:val="32"/>
          <w:lang w:val="zh-CN"/>
        </w:rPr>
        <w:t xml:space="preserve"> </w:t>
      </w: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1563B43F-D4C0-4018-976F-017A8B5E377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42906D7-0A44-4234-8E10-F3A769D84470}"/>
  </w:font>
  <w:font w:name="Cambria">
    <w:panose1 w:val="02040503050406030204"/>
    <w:charset w:val="00"/>
    <w:family w:val="roman"/>
    <w:pitch w:val="default"/>
    <w:sig w:usb0="E00006FF" w:usb1="420024FF" w:usb2="02000000" w:usb3="00000000" w:csb0="2000019F" w:csb1="00000000"/>
    <w:embedRegular r:id="rId3" w:fontKey="{6A613CD3-DBCD-47B5-B48D-33B385AF70AC}"/>
  </w:font>
  <w:font w:name="方正小标宋简体">
    <w:panose1 w:val="02000000000000000000"/>
    <w:charset w:val="86"/>
    <w:family w:val="auto"/>
    <w:pitch w:val="default"/>
    <w:sig w:usb0="00000001" w:usb1="080E0000" w:usb2="00000000" w:usb3="00000000" w:csb0="00040000" w:csb1="00000000"/>
    <w:embedRegular r:id="rId4" w:fontKey="{C6298777-25FB-462F-B3E0-BDAAD88E38E1}"/>
  </w:font>
  <w:font w:name="Droid Sans">
    <w:altName w:val="微软雅黑"/>
    <w:panose1 w:val="00000000000000000000"/>
    <w:charset w:val="00"/>
    <w:family w:val="auto"/>
    <w:pitch w:val="default"/>
    <w:sig w:usb0="00000000" w:usb1="00000000" w:usb2="00000000" w:usb3="00000000" w:csb0="00040001" w:csb1="00000000"/>
    <w:embedRegular r:id="rId5" w:fontKey="{9536D375-4760-4B5D-8D08-CAB7AB303AB8}"/>
  </w:font>
  <w:font w:name="仿宋_GB2312">
    <w:panose1 w:val="02010609030101010101"/>
    <w:charset w:val="86"/>
    <w:family w:val="modern"/>
    <w:pitch w:val="default"/>
    <w:sig w:usb0="00000001" w:usb1="080E0000" w:usb2="00000000" w:usb3="00000000" w:csb0="00040000" w:csb1="00000000"/>
    <w:embedRegular r:id="rId6" w:fontKey="{D193178E-7F25-43EE-A356-F4EF9B604DA8}"/>
  </w:font>
  <w:font w:name="楷体_GB2312">
    <w:panose1 w:val="02010609030101010101"/>
    <w:charset w:val="86"/>
    <w:family w:val="modern"/>
    <w:pitch w:val="default"/>
    <w:sig w:usb0="00000001" w:usb1="080E0000" w:usb2="00000000" w:usb3="00000000" w:csb0="00040000" w:csb1="00000000"/>
    <w:embedRegular r:id="rId7" w:fontKey="{9B03B7D3-D94B-41B9-B085-742F64EA7C6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534035" cy="230505"/>
              <wp:effectExtent l="0" t="3810" r="0" b="381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534035" cy="230505"/>
                      </a:xfrm>
                      <a:prstGeom prst="rect">
                        <a:avLst/>
                      </a:prstGeom>
                      <a:noFill/>
                      <a:ln>
                        <a:noFill/>
                      </a:ln>
                    </wps:spPr>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6 -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42.05pt;mso-position-horizontal:outside;mso-position-horizontal-relative:margin;mso-wrap-style:none;z-index:251659264;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DsMgh2CgIAAAIEAAAOAAAAZHJzL2Uyb0RvYy54bWytU82O0zAQviPx&#10;DpbvNOkfQlHT1bJVEdLyIy08gOs4jUXiscZuk/IA8AacuOyd5+pzMHaSsiyXPXCxxvb4m+/7Zry6&#10;6pqaHRU6DSbn00nKmTISCm32Of/8afviFWfOC1OIGozK+Uk5frV+/mzV2kzNoIK6UMgIxListTmv&#10;vLdZkjhZqUa4CVhl6LIEbISnLe6TAkVL6E2dzNL0ZdICFhZBKufodNNf8gERnwIIZaml2oA8NMr4&#10;HhVVLTxJcpW2jq8j27JU0n8oS6c8q3NOSn1cqQjFu7Am65XI9ihspeVAQTyFwiNNjdCGil6gNsIL&#10;dkD9D1SjJYKD0k8kNEkvJDpCKqbpI2/uKmFV1EJWO3sx3f0/WPn++BGZLnK+4MyIhhp+/vH9/PPX&#10;+f4bWwR7WusyyrqzlOe719DR0ESpzt6C/OKYgZtKmL26RoS2UqIgetPwMnnwtMdxAWTXvoOC6oiD&#10;hwjUldgE78gNRujUmtOlNarzTNLhcr5I50vOJF3N5ukyXcYKIhsfW3T+jYKGhSDnSJ2P4OJ463wg&#10;I7IxJdQysNV1Hbtfm78OKDGcRPKBb8/cd7tuMGMHxYlkIPTDRF+JggrwK2ctDVLODf0bzuq3howI&#10;MzcGOAa7MRBG0sOce8768Mb3s3mwqPcV4Y5WX5NZWx2FBFd7DgNLGo2obxjjMHsP9zHrz9dd/w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w9kx90QAAAAMBAAAPAAAAAAAAAAEAIAAAACIAAABkcnMv&#10;ZG93bnJldi54bWxQSwECFAAUAAAACACHTuJA7DIIdgoCAAACBAAADgAAAAAAAAABACAAAAAgAQAA&#10;ZHJzL2Uyb0RvYy54bWxQSwUGAAAAAAYABgBZAQAAnAUAAAAA&#10;">
              <v:fill on="f" focussize="0,0"/>
              <v:stroke on="f"/>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6 -</w:t>
                    </w:r>
                    <w:r>
                      <w:rPr>
                        <w:rFonts w:ascii="宋体" w:hAnsi="宋体"/>
                        <w:sz w:val="28"/>
                        <w:szCs w:val="28"/>
                      </w:rPr>
                      <w:fldChar w:fldCharType="end"/>
                    </w:r>
                  </w:p>
                </w:txbxContent>
              </v:textbox>
            </v:shape>
          </w:pict>
        </mc:Fallback>
      </mc:AlternateContent>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ZlNDJlNzJlYmE4ODExOTVkYTJkOGVmMzlhOWNhNmUifQ=="/>
  </w:docVars>
  <w:rsids>
    <w:rsidRoot w:val="00BC3C47"/>
    <w:rsid w:val="00000F0C"/>
    <w:rsid w:val="00025BC7"/>
    <w:rsid w:val="0004714D"/>
    <w:rsid w:val="000D3D8C"/>
    <w:rsid w:val="001648EB"/>
    <w:rsid w:val="001D2665"/>
    <w:rsid w:val="001F2128"/>
    <w:rsid w:val="00230585"/>
    <w:rsid w:val="00240498"/>
    <w:rsid w:val="00263209"/>
    <w:rsid w:val="002C2442"/>
    <w:rsid w:val="003F0F3F"/>
    <w:rsid w:val="004D178E"/>
    <w:rsid w:val="004F564F"/>
    <w:rsid w:val="00522DD3"/>
    <w:rsid w:val="00541554"/>
    <w:rsid w:val="00541642"/>
    <w:rsid w:val="005A3535"/>
    <w:rsid w:val="005B2B8B"/>
    <w:rsid w:val="00632850"/>
    <w:rsid w:val="00663884"/>
    <w:rsid w:val="00676D2F"/>
    <w:rsid w:val="006A2D6E"/>
    <w:rsid w:val="0078478B"/>
    <w:rsid w:val="007B2D0E"/>
    <w:rsid w:val="007C3B4E"/>
    <w:rsid w:val="008203CA"/>
    <w:rsid w:val="00826A8B"/>
    <w:rsid w:val="00876525"/>
    <w:rsid w:val="008B1E32"/>
    <w:rsid w:val="00900C35"/>
    <w:rsid w:val="00911411"/>
    <w:rsid w:val="0097674E"/>
    <w:rsid w:val="009A1132"/>
    <w:rsid w:val="009C45E2"/>
    <w:rsid w:val="00A25162"/>
    <w:rsid w:val="00AA6840"/>
    <w:rsid w:val="00AB07C6"/>
    <w:rsid w:val="00B40103"/>
    <w:rsid w:val="00B777C6"/>
    <w:rsid w:val="00BC169C"/>
    <w:rsid w:val="00BC3C47"/>
    <w:rsid w:val="00C40EFE"/>
    <w:rsid w:val="00C51585"/>
    <w:rsid w:val="00CB4FFB"/>
    <w:rsid w:val="00CE7F83"/>
    <w:rsid w:val="00D67045"/>
    <w:rsid w:val="00D70F0C"/>
    <w:rsid w:val="00D77D6A"/>
    <w:rsid w:val="00D95523"/>
    <w:rsid w:val="00E01B05"/>
    <w:rsid w:val="00E14163"/>
    <w:rsid w:val="00E23483"/>
    <w:rsid w:val="00E27D81"/>
    <w:rsid w:val="00EE2ABA"/>
    <w:rsid w:val="00EE2E6A"/>
    <w:rsid w:val="00F81B55"/>
    <w:rsid w:val="00FF3D51"/>
    <w:rsid w:val="06F61785"/>
    <w:rsid w:val="095420F2"/>
    <w:rsid w:val="11B244B4"/>
    <w:rsid w:val="18962766"/>
    <w:rsid w:val="1AAE16AD"/>
    <w:rsid w:val="24931684"/>
    <w:rsid w:val="4FCA5401"/>
    <w:rsid w:val="69551736"/>
    <w:rsid w:val="7BA85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heme="minorBidi"/>
      <w:kern w:val="2"/>
      <w:sz w:val="21"/>
      <w:szCs w:val="22"/>
      <w:lang w:val="en-US" w:eastAsia="zh-CN" w:bidi="ar-SA"/>
    </w:rPr>
  </w:style>
  <w:style w:type="paragraph" w:styleId="2">
    <w:name w:val="heading 2"/>
    <w:basedOn w:val="1"/>
    <w:next w:val="1"/>
    <w:link w:val="11"/>
    <w:autoRedefine/>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9"/>
    <w:autoRedefine/>
    <w:semiHidden/>
    <w:unhideWhenUsed/>
    <w:qFormat/>
    <w:uiPriority w:val="99"/>
    <w:rPr>
      <w:sz w:val="18"/>
      <w:szCs w:val="18"/>
    </w:rPr>
  </w:style>
  <w:style w:type="paragraph" w:styleId="4">
    <w:name w:val="footer"/>
    <w:basedOn w:val="1"/>
    <w:link w:val="8"/>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脚 Char"/>
    <w:basedOn w:val="7"/>
    <w:link w:val="4"/>
    <w:autoRedefine/>
    <w:qFormat/>
    <w:uiPriority w:val="99"/>
    <w:rPr>
      <w:sz w:val="18"/>
      <w:szCs w:val="18"/>
    </w:rPr>
  </w:style>
  <w:style w:type="character" w:customStyle="1" w:styleId="9">
    <w:name w:val="批注框文本 Char"/>
    <w:basedOn w:val="7"/>
    <w:link w:val="3"/>
    <w:autoRedefine/>
    <w:semiHidden/>
    <w:qFormat/>
    <w:uiPriority w:val="99"/>
    <w:rPr>
      <w:sz w:val="18"/>
      <w:szCs w:val="18"/>
    </w:rPr>
  </w:style>
  <w:style w:type="character" w:customStyle="1" w:styleId="10">
    <w:name w:val="页眉 Char"/>
    <w:basedOn w:val="7"/>
    <w:link w:val="5"/>
    <w:autoRedefine/>
    <w:qFormat/>
    <w:uiPriority w:val="99"/>
    <w:rPr>
      <w:sz w:val="18"/>
      <w:szCs w:val="18"/>
    </w:rPr>
  </w:style>
  <w:style w:type="character" w:customStyle="1" w:styleId="11">
    <w:name w:val="标题 2 Char"/>
    <w:basedOn w:val="7"/>
    <w:link w:val="2"/>
    <w:autoRedefine/>
    <w:qFormat/>
    <w:uiPriority w:val="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3833A8-75DA-44AB-AEB1-BC1B28227F71}">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9</Pages>
  <Words>483</Words>
  <Characters>2756</Characters>
  <Lines>22</Lines>
  <Paragraphs>6</Paragraphs>
  <TotalTime>100</TotalTime>
  <ScaleCrop>false</ScaleCrop>
  <LinksUpToDate>false</LinksUpToDate>
  <CharactersWithSpaces>3233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2024-03-01T08:30:00Z</dcterms:created>
  <dc:creator>lenovo</dc:creator>
  <cp:lastModifiedBy>慕九</cp:lastModifiedBy>
  <dcterms:modified xsi:type="dcterms:W3CDTF">2024-03-11T07:26:41Z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9B6FE1407673429AB2DCB23E16E6907B_12</vt:lpwstr>
  </property>
</Properties>
</file>