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6630"/>
        </w:tabs>
        <w:spacing w:line="240" w:lineRule="exact"/>
      </w:pP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北京市自然科学基金委员会办公室</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2024年单位预算情况的说明</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2"/>
        <w:rPr>
          <w:color w:val="000000"/>
        </w:rPr>
      </w:pP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w:t>
      </w:r>
      <w:r>
        <w:rPr>
          <w:rFonts w:hint="eastAsia" w:ascii="仿宋_GB2312" w:hAnsi="仿宋_GB2312" w:eastAsia="仿宋_GB2312" w:cs="仿宋_GB2312"/>
          <w:color w:val="000000"/>
          <w:spacing w:val="-16"/>
          <w:kern w:val="0"/>
          <w:sz w:val="32"/>
          <w:szCs w:val="32"/>
          <w:lang w:val="zh-CN"/>
        </w:rPr>
        <w:t>一</w:t>
      </w:r>
      <w:r>
        <w:rPr>
          <w:rFonts w:hint="eastAsia" w:ascii="仿宋_GB2312" w:hAnsi="仿宋_GB2312" w:eastAsia="仿宋_GB2312" w:cs="仿宋_GB2312"/>
          <w:color w:val="000000"/>
          <w:kern w:val="0"/>
          <w:sz w:val="32"/>
          <w:szCs w:val="32"/>
          <w:lang w:val="zh-CN"/>
        </w:rPr>
        <w:t>、</w:t>
      </w:r>
      <w:r>
        <w:rPr>
          <w:rFonts w:hint="eastAsia" w:ascii="仿宋_GB2312" w:hAnsi="仿宋_GB2312" w:eastAsia="仿宋_GB2312" w:cs="仿宋_GB2312"/>
          <w:color w:val="000000"/>
          <w:spacing w:val="-16"/>
          <w:kern w:val="0"/>
          <w:sz w:val="32"/>
          <w:szCs w:val="32"/>
          <w:lang w:val="zh-CN"/>
        </w:rPr>
        <w:t>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sz w:val="36"/>
          <w:szCs w:val="36"/>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2024年度单位预算情况说明</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是北京市科学技术委员会、中关村科技园区管理委员会直属的公益一类事业单位，参照《公务员法》管理。主要职责为承担本市基础研究和应用研究的政策拟定和组织协调，负责北京市自然科学基金实施工作，承担研究成果统计分析和推广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pStyle w:val="2"/>
        <w:spacing w:before="0" w:beforeAutospacing="0" w:after="0" w:afterAutospacing="0" w:line="560" w:lineRule="exact"/>
        <w:ind w:firstLine="640" w:firstLineChars="200"/>
        <w:rPr>
          <w:rFonts w:ascii="仿宋_GB2312" w:hAnsi="Times New Roman" w:eastAsia="仿宋_GB2312" w:cs="Droid Sans"/>
          <w:b w:val="0"/>
          <w:bCs w:val="0"/>
          <w:kern w:val="2"/>
          <w:sz w:val="32"/>
        </w:rPr>
      </w:pPr>
      <w:r>
        <w:rPr>
          <w:rFonts w:hint="eastAsia" w:ascii="仿宋_GB2312" w:hAnsi="Times New Roman" w:eastAsia="仿宋_GB2312" w:cs="Droid Sans"/>
          <w:b w:val="0"/>
          <w:bCs w:val="0"/>
          <w:kern w:val="2"/>
          <w:sz w:val="32"/>
        </w:rPr>
        <w:t>北京市自然科学基金委员会办公室下设7个部门，分别是综合管理部、发展规划部、学科管理部、项目管理部、联合基金管理一部、联合基金管理二部和交叉科学部。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北京市自然科学基金委员会办公室行政编制0人，实有人数0人；事业编制40人，实有人数32人；离退休人员6人，其中：离休0人，退休6人。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2024年度收入预算79,750.13万元，比2023年年初预算数55,239.68万元增加24,510.45万元，增长44.37%。主要原因是财政经费和社会力量投入基础研究的强度均有所增加。</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（一）本年财政拨款收入52,750.13万元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1.一般公共预算拨款收入52,750.13万元。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（二）本年其他资金收入26,800.00万元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5.事业收入21,800.00万元。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9.其他收入5,000.00万元。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（三）上年结转结余200.00万元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10.上年结转结余200.00万元。</w:t>
      </w: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firstLineChars="200"/>
        <w:rPr>
          <w:rFonts w:ascii="仿宋_GB2312" w:eastAsia="仿宋_GB2312"/>
          <w:color w:val="000000"/>
          <w:sz w:val="32"/>
          <w:szCs w:val="32"/>
        </w:rPr>
      </w:pPr>
    </w:p>
    <w:p>
      <w:pPr>
        <w:spacing w:line="560" w:lineRule="exact"/>
        <w:ind w:firstLine="640"/>
        <w:jc w:val="center"/>
        <w:rPr>
          <w:rFonts w:ascii="仿宋_GB2312" w:hAnsi="Cambria" w:eastAsia="仿宋_GB2312" w:cs="Times New Roman"/>
          <w:b/>
          <w:bCs/>
          <w:kern w:val="0"/>
          <w:sz w:val="32"/>
          <w:szCs w:val="32"/>
        </w:rPr>
      </w:pPr>
      <w:r>
        <w:rPr>
          <w:rFonts w:hint="eastAsia" w:ascii="仿宋_GB2312" w:hAnsi="Cambria" w:eastAsia="仿宋_GB2312" w:cs="Times New Roman"/>
          <w:b/>
          <w:bCs/>
          <w:kern w:val="0"/>
          <w:sz w:val="32"/>
          <w:szCs w:val="32"/>
        </w:rPr>
        <w:drawing>
          <wp:anchor distT="0" distB="0" distL="114300" distR="114300" simplePos="0" relativeHeight="251659264" behindDoc="1" locked="0" layoutInCell="1" allowOverlap="1">
            <wp:simplePos x="0" y="0"/>
            <wp:positionH relativeFrom="column">
              <wp:posOffset>480695</wp:posOffset>
            </wp:positionH>
            <wp:positionV relativeFrom="paragraph">
              <wp:posOffset>140335</wp:posOffset>
            </wp:positionV>
            <wp:extent cx="4242435" cy="2591435"/>
            <wp:effectExtent l="0" t="0" r="5715" b="18415"/>
            <wp:wrapTight wrapText="bothSides">
              <wp:wrapPolygon>
                <wp:start x="0" y="0"/>
                <wp:lineTo x="0" y="21436"/>
                <wp:lineTo x="21532" y="21436"/>
                <wp:lineTo x="21532" y="0"/>
                <wp:lineTo x="0" y="0"/>
              </wp:wrapPolygon>
            </wp:wrapTight>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hint="eastAsia" w:ascii="仿宋_GB2312" w:hAnsi="Cambria" w:eastAsia="仿宋_GB2312" w:cs="Times New Roman"/>
          <w:b/>
          <w:bCs/>
          <w:kern w:val="0"/>
          <w:sz w:val="32"/>
          <w:szCs w:val="32"/>
        </w:rPr>
        <w:t>图1：收入预算</w:t>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支出预算79,750.13万元，比2023年年初预算数55,239.68万元增加24,510.46万元，增长44.37%。主要原因是（1）基本支出：职务职级调整、工龄增加、社保基数调整、人员增加导致人员经费增长；（2）项目支出：财政经费和社会力量投入基础研究的强度均有所增加。</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基本支出预算1,340.39万元，占总支出预算1.68%，比2023年年初预算数1,149.37万元增加191.02万元，增长16.62%。</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项目支出预算78,409.74万元，比2023年年初预算数54,090.31万元增加24,319.43万元，增长44.96%。其中：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3.对附属单位补助支出0.00万元。</w:t>
      </w:r>
    </w:p>
    <w:p>
      <w:pPr>
        <w:rPr>
          <w:rFonts w:ascii="仿宋_GB2312" w:eastAsia="仿宋_GB2312"/>
          <w:sz w:val="32"/>
          <w:szCs w:val="32"/>
        </w:rPr>
      </w:pPr>
    </w:p>
    <w:p>
      <w:pPr>
        <w:pStyle w:val="2"/>
      </w:pPr>
    </w:p>
    <w:p>
      <w:pPr>
        <w:spacing w:line="560" w:lineRule="exact"/>
        <w:ind w:firstLine="640"/>
        <w:rPr>
          <w:rFonts w:ascii="仿宋_GB2312" w:eastAsia="仿宋_GB2312"/>
          <w:sz w:val="32"/>
          <w:szCs w:val="32"/>
        </w:rPr>
      </w:pPr>
      <w:r>
        <w:rPr>
          <w:rFonts w:hint="eastAsia" w:ascii="仿宋_GB2312" w:eastAsia="仿宋_GB2312"/>
          <w:sz w:val="32"/>
          <w:szCs w:val="32"/>
        </w:rPr>
        <w:drawing>
          <wp:anchor distT="0" distB="0" distL="114300" distR="114300" simplePos="0" relativeHeight="251660288" behindDoc="0" locked="0" layoutInCell="1" allowOverlap="1">
            <wp:simplePos x="0" y="0"/>
            <wp:positionH relativeFrom="column">
              <wp:posOffset>401320</wp:posOffset>
            </wp:positionH>
            <wp:positionV relativeFrom="paragraph">
              <wp:posOffset>-909955</wp:posOffset>
            </wp:positionV>
            <wp:extent cx="4603750" cy="2381250"/>
            <wp:effectExtent l="4445" t="4445" r="20955" b="14605"/>
            <wp:wrapSquare wrapText="bothSides"/>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2"/>
        <w:ind w:firstLine="642"/>
        <w:jc w:val="center"/>
      </w:pPr>
      <w:r>
        <w:rPr>
          <w:rFonts w:hint="eastAsia" w:ascii="仿宋_GB2312" w:eastAsia="仿宋_GB2312" w:cs="Droid Sans"/>
          <w:sz w:val="32"/>
        </w:rPr>
        <w:t>（</w:t>
      </w:r>
    </w:p>
    <w:p>
      <w:pPr>
        <w:pStyle w:val="2"/>
        <w:ind w:firstLine="642"/>
        <w:jc w:val="center"/>
      </w:pPr>
      <w:r>
        <w:rPr>
          <w:rFonts w:hint="eastAsia" w:ascii="仿宋_GB2312" w:eastAsia="仿宋_GB2312"/>
          <w:sz w:val="32"/>
        </w:rPr>
        <w:t>图2：基本支出和项目支出情况</w:t>
      </w:r>
    </w:p>
    <w:p>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年终结转结余资金0.00万元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北京市自然科学基金委员会办公室因公出国（境）费用、公务接待费、公务用车购置和运行维护费开支单位包括1个事业单位，无所属单位。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2024年财政拨款“三公”经费预算19.11万元，比2023年财政拨款“三公”经费预算增加17.98万元。其中：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1.因公出国（境）费用。2024年预算数0.00万元，与2</w:t>
      </w:r>
      <w:r>
        <w:rPr>
          <w:rFonts w:ascii="仿宋_GB2312" w:eastAsia="仿宋_GB2312"/>
          <w:sz w:val="32"/>
          <w:szCs w:val="32"/>
        </w:rPr>
        <w:t>02</w:t>
      </w:r>
      <w:r>
        <w:rPr>
          <w:rFonts w:hint="eastAsia" w:ascii="仿宋_GB2312" w:eastAsia="仿宋_GB2312"/>
          <w:sz w:val="32"/>
          <w:szCs w:val="32"/>
        </w:rPr>
        <w:t>3年持平。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2.公务接待费。2024年预算数0.00万元，与2</w:t>
      </w:r>
      <w:r>
        <w:rPr>
          <w:rFonts w:ascii="仿宋_GB2312" w:eastAsia="仿宋_GB2312"/>
          <w:sz w:val="32"/>
          <w:szCs w:val="32"/>
        </w:rPr>
        <w:t>02</w:t>
      </w:r>
      <w:r>
        <w:rPr>
          <w:rFonts w:hint="eastAsia" w:ascii="仿宋_GB2312" w:eastAsia="仿宋_GB2312"/>
          <w:sz w:val="32"/>
          <w:szCs w:val="32"/>
        </w:rPr>
        <w:t>3年持平。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2024年预算数19.11万元，包括：公务用车购置费2024年预算数17.98万元，比2023年年初预算数0.00万元增加17.98万元，主要原因：我单位根据工作需要和资产管理相关规定，对符合更新条件的公务车申请更新；公务用车运行维护费2024年预算数1.13万元，其中：公务用车燃油0.00万元，公务用车维修0.43万元，公务用车保险0.42万元，其他支出0.28万元。公务用车运行维护费2024年预算数与2023年年初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2024年北京市自然科学基金委员会办公室政府采购预算总额488.75万元，其中：政府采购货物预算106.85万元，政府采购工程预算0.00万元，政府采购服务预算381.90万元。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2024年北京市自然科学基金委员会办公室1家参公管理事业单位的机关运行经费财政拨款预算114.03万元。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2024年，北京市自然科学基金委员会办公室填报绩效目标的预算项目10个，占本单位本年预算项目10个的100%。填报绩效目标的项目支出预算78,409.74万元，占本单位本年项目支出预算的100%。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截至2023年底，北京市自然科学基金委员会办公室共有车辆1台，共计17.90万元；单位价值50万元以上的设备2台（套）、共计313.51万元。2024年预算安排中，购置单位价值50万元以上的设备0台（套），共计</w:t>
      </w:r>
      <w:r>
        <w:rPr>
          <w:rFonts w:hint="eastAsia" w:ascii="仿宋_GB2312" w:eastAsia="仿宋_GB2312"/>
          <w:sz w:val="32"/>
          <w:szCs w:val="32"/>
        </w:rPr>
        <w:t>0.00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（八）重点支出和重大投资项目情况说明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1.项目名称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北京市自然科学基金项目</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2.政策依据 </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2011年，市政府发布《北京市自然科学基金管理办法》（政府令〔2011〕235号），设立市自然科学基金，资助自然科学和与自然科学相交叉的学科领域的基础研究、应用基础研究及其相关的环境条件促进活动。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2019年，北京市科学技术委员会印发《北京市自然科学基金项目管理办法》（京科发〔2019〕10号），要求按照该办法开展市自然科学基金项目的申请、评审、立项、实施等工作。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2021年，中共北京市委 北京市人民政府印发《北京市“十四五”时期国际科技创新中心建设规划》（北京市政府公报〔2022〕第7号），要求加强青年人才培养，扩大北京市自然科学基金青年项目支持规模，发现和培养一批创新思维活跃、敢闯“无人区”的青年人才。</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2023年，北京实施基础研究领先行动，明确要求要坚持“四个面向”，坚持目标导向和自由探索“两条腿走路”，有组织推进战略导向的体系化基础研究、前沿导向的探索性基础研究、市场导向的应用性基础研究；要加强对青年科技人才培养，构建多层次基础研究人才梯队。</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3.绩效目标</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一是拟支持青年项目、杰青项目、外籍学者项目、本科生“启研”等项目800个</w:t>
      </w:r>
      <w:r>
        <w:rPr>
          <w:rFonts w:ascii="仿宋_GB2312" w:eastAsia="仿宋_GB2312"/>
          <w:color w:val="000000"/>
          <w:sz w:val="32"/>
          <w:szCs w:val="32"/>
        </w:rPr>
        <w:t>左右</w:t>
      </w:r>
      <w:r>
        <w:rPr>
          <w:rFonts w:hint="eastAsia" w:ascii="仿宋_GB2312" w:eastAsia="仿宋_GB2312"/>
          <w:color w:val="000000"/>
          <w:sz w:val="32"/>
          <w:szCs w:val="32"/>
        </w:rPr>
        <w:t>，持续加大对青年科技人才的支持力度，系统布局不同类型的青年人才项目，为国际科创中心建设提供人才储备。</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二是拟支持面上项目600个</w:t>
      </w:r>
      <w:r>
        <w:rPr>
          <w:rFonts w:ascii="仿宋_GB2312" w:eastAsia="仿宋_GB2312"/>
          <w:color w:val="000000"/>
          <w:sz w:val="32"/>
          <w:szCs w:val="32"/>
        </w:rPr>
        <w:t>左右</w:t>
      </w:r>
      <w:r>
        <w:rPr>
          <w:rFonts w:hint="eastAsia" w:ascii="仿宋_GB2312" w:eastAsia="仿宋_GB2312"/>
          <w:color w:val="000000"/>
          <w:sz w:val="32"/>
          <w:szCs w:val="32"/>
        </w:rPr>
        <w:t>，聚焦数学、物理、化学、生物等基础学科以及新一代信息技术、医药健康、集成电路等应用基础研究领域，开展前沿探索。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三是拟支持重点研究专题项目25个</w:t>
      </w:r>
      <w:r>
        <w:rPr>
          <w:rFonts w:ascii="仿宋_GB2312" w:eastAsia="仿宋_GB2312"/>
          <w:color w:val="000000"/>
          <w:sz w:val="32"/>
          <w:szCs w:val="32"/>
        </w:rPr>
        <w:t>左右</w:t>
      </w:r>
      <w:r>
        <w:rPr>
          <w:rFonts w:hint="eastAsia" w:ascii="仿宋_GB2312" w:eastAsia="仿宋_GB2312"/>
          <w:color w:val="000000"/>
          <w:sz w:val="32"/>
          <w:szCs w:val="32"/>
        </w:rPr>
        <w:t>，聚焦国际科技创新中心建设的重点领域和关键核心技术的基础研究问题，开展数学、物理、化学、生命等基础学科与其它学科的交叉研究。</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四是吸引和调动社会资源投入基础研究，拟支持联合基金、京津冀基础合作专项项目350个</w:t>
      </w:r>
      <w:r>
        <w:rPr>
          <w:rFonts w:ascii="仿宋_GB2312" w:eastAsia="仿宋_GB2312"/>
          <w:color w:val="000000"/>
          <w:sz w:val="32"/>
          <w:szCs w:val="32"/>
        </w:rPr>
        <w:t>左右</w:t>
      </w:r>
      <w:r>
        <w:rPr>
          <w:rFonts w:hint="eastAsia" w:ascii="仿宋_GB2312" w:eastAsia="仿宋_GB2312"/>
          <w:color w:val="000000"/>
          <w:sz w:val="32"/>
          <w:szCs w:val="32"/>
        </w:rPr>
        <w:t>，聚焦人工智能、生物医药等行业领域的发展需求，凝练科学问题，促进项目团队与企业合作。</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4.预算安排</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2024年市财政资金预算安排5亿元。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5.实施方案</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按照《北京市自然科学基金管理办法》和基础研究领先行动等要求，2024年组织对杰青项目、面上项目、联合基金项目等的资助工作。</w:t>
      </w:r>
    </w:p>
    <w:p>
      <w:pPr>
        <w:spacing w:line="560" w:lineRule="exact"/>
        <w:ind w:firstLine="640" w:firstLineChars="200"/>
        <w:rPr>
          <w:rFonts w:ascii="仿宋_GB2312" w:eastAsia="仿宋_GB2312"/>
          <w:color w:val="000000"/>
          <w:sz w:val="32"/>
          <w:szCs w:val="32"/>
        </w:rPr>
      </w:pPr>
      <w:bookmarkStart w:id="0" w:name="_Toc8581"/>
      <w:r>
        <w:rPr>
          <w:rFonts w:hint="eastAsia" w:ascii="仿宋_GB2312" w:eastAsia="仿宋_GB2312"/>
          <w:color w:val="000000"/>
          <w:sz w:val="32"/>
          <w:szCs w:val="32"/>
        </w:rPr>
        <w:t>一是加强对青年科技人才的支持，</w:t>
      </w:r>
      <w:bookmarkEnd w:id="0"/>
      <w:r>
        <w:rPr>
          <w:rFonts w:hint="eastAsia" w:ascii="仿宋_GB2312" w:eastAsia="仿宋_GB2312"/>
          <w:color w:val="000000"/>
          <w:sz w:val="32"/>
          <w:szCs w:val="32"/>
        </w:rPr>
        <w:t>设置杰青项目、青年项目、本科生“启研”、外籍学者“汇智”四种青年人才创新能力提升类项目，促进科研人员快速成长。其中杰青项目资助强度为100万元/项，以服务国际科技创新中心建设为导向，以培养造就一批有望进入世界科技前沿的优秀青年学术带头人为目标，鼓励北京地区40岁以下的青年学者，通过实质性国际合作开展前沿研究；青年科学基金项目资助强度为20万元/项，支持35岁（女性38岁）以下青年，定位于发现和培养创新型科研人才，支持青年科研人员自主选题，培养青年科研人员独立主持科研项目的能力；本科生项目资助依托单位推荐的全日制在读本科生围绕北京市基础研究重点领域开展基础研究工作，为构建高质量基础研究人才队伍提供“源头活水”，平均资助强度为5万元/项；外籍项目资助强度为20万元/项，资助依托单位引进的毕业于QS世界排名前500名高校或国内外科研机构的外国籍科研人员，在市自然科学基金资助范围内自主选题，在京开展研究或科研合作，促进外籍学者与中国学者之间开展稳定的学术合作与交流。</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是鼓励科研人员开展前沿科学自由探索，通过面上项目，凝聚一批优秀人才，聚焦数学、物理、化学、生物等四个基础学科以及新一代信息技术、医药健康、集成电路、新材料领域等重点领域，聚焦学术前沿，注重问题导向，开展前沿性、探索性研究，推动首都基础研究可持续发展。面上项目资助强度为20万元/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是促进学科交叉，聚焦卡脖子问题，设置重点研究专题项目，支持45岁以下的科研人员，围绕数理化生基础学科及其交叉学科领域进行研究的重点项目，由院士牵头组织一线顶尖科学家围绕世界科技前沿和“卡脖子”关键科学问题系统长期布局，通过创新项目组织方</w:t>
      </w:r>
      <w:bookmarkStart w:id="1" w:name="_GoBack"/>
      <w:bookmarkEnd w:id="1"/>
      <w:r>
        <w:rPr>
          <w:rFonts w:hint="eastAsia" w:ascii="仿宋_GB2312" w:eastAsia="仿宋_GB2312"/>
          <w:color w:val="000000"/>
          <w:sz w:val="32"/>
          <w:szCs w:val="32"/>
        </w:rPr>
        <w:t>式，鼓励跨单位、跨学科合作。重点研究专题项目“数学+”方向资助强度为150万元/项，其他均为300万元/项。</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四是遵循“聚焦重点领域、提出产业需求、凝练科学问题”的总体思路，设置市自然科学基金联合基金项目，注重发挥企业“出题人”作用，引导</w:t>
      </w:r>
      <w:r>
        <w:rPr>
          <w:rFonts w:hint="eastAsia" w:ascii="仿宋_GB2312" w:eastAsia="仿宋_GB2312"/>
          <w:color w:val="000000"/>
          <w:sz w:val="32"/>
          <w:szCs w:val="32"/>
          <w:lang w:val="zh-TW" w:eastAsia="zh-TW"/>
        </w:rPr>
        <w:t>科研人员从过去在前沿热点中找课题，转变为在企业难题中找项目</w:t>
      </w:r>
      <w:r>
        <w:rPr>
          <w:rFonts w:hint="eastAsia" w:ascii="仿宋_GB2312" w:eastAsia="仿宋_GB2312"/>
          <w:color w:val="000000"/>
          <w:sz w:val="32"/>
          <w:szCs w:val="32"/>
          <w:lang w:val="zh-CN"/>
        </w:rPr>
        <w:t>。联合基金项目设前沿项目和重点项目，资助强度</w:t>
      </w:r>
      <w:r>
        <w:rPr>
          <w:rFonts w:hint="eastAsia" w:ascii="仿宋_GB2312" w:eastAsia="仿宋_GB2312"/>
          <w:color w:val="000000"/>
          <w:sz w:val="32"/>
          <w:szCs w:val="32"/>
        </w:rPr>
        <w:t>30</w:t>
      </w:r>
      <w:r>
        <w:rPr>
          <w:rFonts w:hint="eastAsia" w:ascii="仿宋_GB2312" w:eastAsia="仿宋_GB2312"/>
          <w:color w:val="000000"/>
          <w:sz w:val="32"/>
          <w:szCs w:val="32"/>
          <w:lang w:eastAsia="zh-Hans"/>
        </w:rPr>
        <w:t>万元/项</w:t>
      </w:r>
      <w:r>
        <w:rPr>
          <w:rFonts w:hint="eastAsia" w:ascii="仿宋_GB2312" w:eastAsia="仿宋_GB2312"/>
          <w:color w:val="000000"/>
          <w:sz w:val="32"/>
          <w:szCs w:val="32"/>
        </w:rPr>
        <w:t>-5</w:t>
      </w:r>
      <w:r>
        <w:rPr>
          <w:rFonts w:hint="eastAsia" w:ascii="仿宋_GB2312" w:eastAsia="仿宋_GB2312"/>
          <w:color w:val="000000"/>
          <w:sz w:val="32"/>
          <w:szCs w:val="32"/>
          <w:lang w:eastAsia="zh-Hans"/>
        </w:rPr>
        <w:t>00万</w:t>
      </w:r>
      <w:r>
        <w:rPr>
          <w:rFonts w:hint="eastAsia" w:ascii="仿宋_GB2312" w:eastAsia="仿宋_GB2312"/>
          <w:color w:val="000000"/>
          <w:sz w:val="32"/>
          <w:szCs w:val="32"/>
        </w:rPr>
        <w:t>元</w:t>
      </w:r>
      <w:r>
        <w:rPr>
          <w:rFonts w:hint="eastAsia" w:ascii="仿宋_GB2312" w:eastAsia="仿宋_GB2312"/>
          <w:color w:val="000000"/>
          <w:sz w:val="32"/>
          <w:szCs w:val="32"/>
          <w:lang w:eastAsia="zh-Hans"/>
        </w:rPr>
        <w:t>/项</w:t>
      </w:r>
      <w:r>
        <w:rPr>
          <w:rFonts w:hint="eastAsia" w:ascii="仿宋_GB2312" w:eastAsia="仿宋_GB2312"/>
          <w:color w:val="000000"/>
          <w:sz w:val="32"/>
          <w:szCs w:val="32"/>
        </w:rPr>
        <w:t>不等；京津冀项目支持三地科研团队共同申报，引导三地科研团队围绕共同关注的基础问题开展研究，资助强度60万元/项。</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自然科学基金：2011年，市政府发布《北京市自然科学基金管理办法》（政府令〔2011〕235号），设立北京市自然科学基金，资助自然科学和与自然科学相交叉的学科领域的基础研究、应用基础研究及其相关的环境条件促进活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自然科学基金联合基金：由北京市自然科学基金委员会与联合资助方共同设立，在商定的科学与技术领域内共同支持基础研究与应用基础研究的基金。联合资助方包括政府部门、事业单位、企业、其他法人组织等。</w:t>
      </w:r>
    </w:p>
    <w:p>
      <w:pPr>
        <w:pStyle w:val="2"/>
        <w:rPr>
          <w:rFonts w:ascii="仿宋_GB2312" w:eastAsia="仿宋_GB2312"/>
          <w:color w:val="000000"/>
          <w:sz w:val="32"/>
        </w:rPr>
      </w:pPr>
    </w:p>
    <w:p>
      <w:pPr>
        <w:rPr>
          <w:rFonts w:ascii="仿宋_GB2312" w:eastAsia="仿宋_GB2312"/>
          <w:color w:val="000000"/>
          <w:sz w:val="32"/>
          <w:szCs w:val="32"/>
        </w:rPr>
      </w:pPr>
    </w:p>
    <w:p>
      <w:pPr>
        <w:pStyle w:val="2"/>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pPr>
      <w:r>
        <w:rPr>
          <w:rFonts w:hint="eastAsia" w:ascii="仿宋_GB2312" w:eastAsia="仿宋_GB2312"/>
          <w:color w:val="000000"/>
          <w:sz w:val="32"/>
          <w:szCs w:val="32"/>
        </w:rPr>
        <w:t>附件：北京市自然科学基金委员会办公室2024年度单位预算报表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D61F5CE2-3ACE-4CD9-BF98-9A4DDF3DC8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embedRegular r:id="rId2" w:fontKey="{56A23F66-89D7-4ACC-B6C7-6C9F0DD26605}"/>
  </w:font>
  <w:font w:name="Cambria">
    <w:panose1 w:val="02040503050406030204"/>
    <w:charset w:val="00"/>
    <w:family w:val="roman"/>
    <w:pitch w:val="default"/>
    <w:sig w:usb0="E00006FF" w:usb1="420024FF" w:usb2="02000000" w:usb3="00000000" w:csb0="2000019F" w:csb1="00000000"/>
    <w:embedRegular r:id="rId3" w:fontKey="{DB1CE799-E0AE-4EB0-94A5-262C8E496ED1}"/>
  </w:font>
  <w:font w:name="仿宋_GB2312">
    <w:panose1 w:val="02010609030101010101"/>
    <w:charset w:val="86"/>
    <w:family w:val="modern"/>
    <w:pitch w:val="default"/>
    <w:sig w:usb0="00000001" w:usb1="080E0000" w:usb2="00000000" w:usb3="00000000" w:csb0="00040000" w:csb1="00000000"/>
    <w:embedRegular r:id="rId4" w:fontKey="{5F124338-8BCC-415E-B18F-2BE3B97A0E06}"/>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auto"/>
    <w:pitch w:val="default"/>
    <w:sig w:usb0="00000001" w:usb1="080E0000" w:usb2="00000000" w:usb3="00000000" w:csb0="00040000" w:csb1="00000000"/>
    <w:embedRegular r:id="rId5" w:fontKey="{5E8D421B-9D4F-4E16-B86B-E0486A0BE773}"/>
  </w:font>
  <w:font w:name="楷体_GB2312">
    <w:panose1 w:val="02010609030101010101"/>
    <w:charset w:val="86"/>
    <w:family w:val="modern"/>
    <w:pitch w:val="default"/>
    <w:sig w:usb0="00000001" w:usb1="080E0000" w:usb2="00000000" w:usb3="00000000" w:csb0="00040000" w:csb1="00000000"/>
    <w:embedRegular r:id="rId6" w:fontKey="{93DFDC93-0E69-4D12-8307-4697C0FEDFE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983MsBAACWAwAADgAAAGRycy9lMm9Eb2MueG1srVPNjtMwEL4j8Q6W&#10;7zTZrha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VgjkxibzVYadsPEbOfbExLrcQMY&#10;dbjwlJgPDgXOyzIbcTZ2k5GrQ3h7SNhBaSyjjlBTMRxXoTatVt6Hv/2S9fg7bf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P4/fNzLAQAAlgMAAA4AAAAAAAAAAQAgAAAAHgEAAGRycy9lMm9E&#10;b2MueG1sUEsFBgAAAAAGAAYAWQEAAFs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25876BF1"/>
    <w:rsid w:val="000D6E62"/>
    <w:rsid w:val="001013B4"/>
    <w:rsid w:val="00835012"/>
    <w:rsid w:val="00845D8E"/>
    <w:rsid w:val="017F6ACC"/>
    <w:rsid w:val="03EB74F6"/>
    <w:rsid w:val="071C1AF7"/>
    <w:rsid w:val="095601CA"/>
    <w:rsid w:val="0A900D9B"/>
    <w:rsid w:val="0AB27ACD"/>
    <w:rsid w:val="0B3B3945"/>
    <w:rsid w:val="0D965599"/>
    <w:rsid w:val="125B12A6"/>
    <w:rsid w:val="12AA288D"/>
    <w:rsid w:val="14670D12"/>
    <w:rsid w:val="160E6C6C"/>
    <w:rsid w:val="16624684"/>
    <w:rsid w:val="1B3679C5"/>
    <w:rsid w:val="1F355EE6"/>
    <w:rsid w:val="1FC73E8A"/>
    <w:rsid w:val="21A46259"/>
    <w:rsid w:val="21E4002C"/>
    <w:rsid w:val="24362DB3"/>
    <w:rsid w:val="25876BF1"/>
    <w:rsid w:val="27FC70FF"/>
    <w:rsid w:val="287E3E97"/>
    <w:rsid w:val="288E38BE"/>
    <w:rsid w:val="2F3561C3"/>
    <w:rsid w:val="2F9433B3"/>
    <w:rsid w:val="340F34A9"/>
    <w:rsid w:val="362D392A"/>
    <w:rsid w:val="365F1FB7"/>
    <w:rsid w:val="376F743B"/>
    <w:rsid w:val="39B61D82"/>
    <w:rsid w:val="3F356CE4"/>
    <w:rsid w:val="415E093B"/>
    <w:rsid w:val="43297869"/>
    <w:rsid w:val="47921975"/>
    <w:rsid w:val="47FA52AD"/>
    <w:rsid w:val="489854B1"/>
    <w:rsid w:val="48F72DFA"/>
    <w:rsid w:val="4A3D6015"/>
    <w:rsid w:val="4A4540DB"/>
    <w:rsid w:val="4B06437E"/>
    <w:rsid w:val="4D0B738C"/>
    <w:rsid w:val="55351CAD"/>
    <w:rsid w:val="59CF6D1E"/>
    <w:rsid w:val="5A3D0E58"/>
    <w:rsid w:val="5AC751EF"/>
    <w:rsid w:val="5B54611E"/>
    <w:rsid w:val="62A5433A"/>
    <w:rsid w:val="63647A11"/>
    <w:rsid w:val="63911D27"/>
    <w:rsid w:val="63AB7DF7"/>
    <w:rsid w:val="65265E02"/>
    <w:rsid w:val="66B266CE"/>
    <w:rsid w:val="67625CE5"/>
    <w:rsid w:val="70434C95"/>
    <w:rsid w:val="70603D19"/>
    <w:rsid w:val="70B24567"/>
    <w:rsid w:val="72DC2E23"/>
    <w:rsid w:val="72F96787"/>
    <w:rsid w:val="76D563DB"/>
    <w:rsid w:val="76E03F7F"/>
    <w:rsid w:val="787A7CD3"/>
    <w:rsid w:val="793B618B"/>
    <w:rsid w:val="7CBD1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autoRedefine/>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paragraph" w:styleId="3">
    <w:name w:val="heading 3"/>
    <w:basedOn w:val="1"/>
    <w:next w:val="1"/>
    <w:autoRedefine/>
    <w:qFormat/>
    <w:uiPriority w:val="9"/>
    <w:pPr>
      <w:keepNext/>
      <w:keepLines/>
      <w:widowControl/>
      <w:spacing w:before="260" w:after="260" w:line="416" w:lineRule="atLeast"/>
      <w:outlineLvl w:val="2"/>
    </w:pPr>
    <w:rPr>
      <w:rFonts w:ascii="Calibri" w:hAnsi="Calibri" w:eastAsia="仿宋_GB2312"/>
      <w:b/>
      <w:bCs/>
      <w:sz w:val="32"/>
      <w:szCs w:val="32"/>
    </w:rPr>
  </w:style>
  <w:style w:type="character" w:default="1" w:styleId="10">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1"/>
    <w:autoRedefine/>
    <w:qFormat/>
    <w:uiPriority w:val="0"/>
    <w:pPr>
      <w:spacing w:after="140" w:line="276" w:lineRule="auto"/>
    </w:pPr>
  </w:style>
  <w:style w:type="paragraph" w:styleId="5">
    <w:name w:val="footer"/>
    <w:basedOn w:val="1"/>
    <w:autoRedefine/>
    <w:qFormat/>
    <w:uiPriority w:val="99"/>
    <w:pPr>
      <w:tabs>
        <w:tab w:val="center" w:pos="4153"/>
        <w:tab w:val="right" w:pos="8306"/>
      </w:tabs>
      <w:snapToGrid w:val="0"/>
      <w:jc w:val="left"/>
    </w:pPr>
    <w:rPr>
      <w:sz w:val="18"/>
      <w:szCs w:val="20"/>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index heading"/>
    <w:basedOn w:val="1"/>
    <w:next w:val="8"/>
    <w:autoRedefine/>
    <w:qFormat/>
    <w:uiPriority w:val="0"/>
    <w:rPr>
      <w:rFonts w:ascii="Arial" w:hAnsi="Arial"/>
      <w:b/>
    </w:rPr>
  </w:style>
  <w:style w:type="paragraph" w:styleId="8">
    <w:name w:val="index 1"/>
    <w:basedOn w:val="1"/>
    <w:next w:val="1"/>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3"/>
              <c:layout>
                <c:manualLayout>
                  <c:x val="0.0580241591137053"/>
                  <c:y val="0.02913771922277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事业收入</c:v>
                </c:pt>
                <c:pt idx="2">
                  <c:v>其他收入</c:v>
                </c:pt>
                <c:pt idx="3">
                  <c:v>上年结转结余</c:v>
                </c:pt>
              </c:strCache>
            </c:strRef>
          </c:cat>
          <c:val>
            <c:numRef>
              <c:f>Sheet1!$B$2:$B$5</c:f>
              <c:numCache>
                <c:formatCode>_(* #,##0.00_);_(* \(#,##0.00\);_(* "-"??_);_(@_)</c:formatCode>
                <c:ptCount val="4"/>
                <c:pt idx="0">
                  <c:v>52750.13</c:v>
                </c:pt>
                <c:pt idx="1">
                  <c:v>21800</c:v>
                </c:pt>
                <c:pt idx="2">
                  <c:v>5000</c:v>
                </c:pt>
                <c:pt idx="3">
                  <c:v>200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no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a:solidFill>
              <a:srgbClr val="FF0000"/>
            </a:solidFill>
          </c:spPr>
          <c:explosion val="0"/>
          <c:dPt>
            <c:idx val="0"/>
            <c:bubble3D val="0"/>
            <c:spPr>
              <a:solidFill>
                <a:srgbClr val="FF0000"/>
              </a:solidFill>
              <a:ln w="19050">
                <a:solidFill>
                  <a:schemeClr val="lt1"/>
                </a:solidFill>
              </a:ln>
              <a:effectLst/>
            </c:spPr>
          </c:dPt>
          <c:dPt>
            <c:idx val="1"/>
            <c:bubble3D val="0"/>
            <c:explosion val="1"/>
            <c:spPr>
              <a:solidFill>
                <a:schemeClr val="accent1"/>
              </a:solidFill>
              <a:ln w="19050">
                <a:solidFill>
                  <a:schemeClr val="lt1"/>
                </a:solidFill>
              </a:ln>
              <a:effectLst/>
            </c:spPr>
          </c:dPt>
          <c:dLbls>
            <c:dLbl>
              <c:idx val="1"/>
              <c:layout>
                <c:manualLayout>
                  <c:x val="-0.0787110223696254"/>
                  <c:y val="-0.51735674380480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1340.4</c:v>
                </c:pt>
                <c:pt idx="1">
                  <c:v>78409.74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742</Words>
  <Characters>4236</Characters>
  <Lines>35</Lines>
  <Paragraphs>9</Paragraphs>
  <TotalTime>73</TotalTime>
  <ScaleCrop>false</ScaleCrop>
  <LinksUpToDate>false</LinksUpToDate>
  <CharactersWithSpaces>4969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2024-02-28T03:35:00Z</dcterms:created>
  <dc:creator>夏夜之风</dc:creator>
  <cp:lastModifiedBy>慕九</cp:lastModifiedBy>
  <dcterms:modified xsi:type="dcterms:W3CDTF">2024-03-14T08:21:44Z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C5DCD495B6FA442DB98B7E94589DA7B2_12</vt:lpwstr>
  </property>
</Properties>
</file>