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240" w:lineRule="exact"/>
        <w:rPr>
          <w:rFonts w:hint="eastAsia" w:ascii="Cambria" w:eastAsia="黑体"/>
          <w:color w:val="auto"/>
          <w:sz w:val="36"/>
          <w:u w:val="none"/>
        </w:rPr>
      </w:pPr>
    </w:p>
    <w:p>
      <w:pPr>
        <w:spacing w:line="560" w:lineRule="exact"/>
        <w:jc w:val="center"/>
        <w:rPr>
          <w:rFonts w:hint="eastAsia" w:ascii="方正小标宋简体" w:eastAsia="方正小标宋简体"/>
          <w:color w:val="000000"/>
          <w:sz w:val="44"/>
          <w:szCs w:val="44"/>
          <w:u w:val="none"/>
          <w:lang w:eastAsia="zh-CN"/>
        </w:rPr>
      </w:pPr>
      <w:r>
        <w:rPr>
          <w:rFonts w:hint="eastAsia" w:ascii="方正小标宋简体" w:eastAsia="方正小标宋简体"/>
          <w:color w:val="000000"/>
          <w:sz w:val="44"/>
          <w:szCs w:val="44"/>
          <w:u w:val="none"/>
          <w:lang w:eastAsia="zh-CN"/>
        </w:rPr>
        <w:t>北京科技审评中心</w:t>
      </w: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2024年度单位</w:t>
      </w:r>
      <w:r>
        <w:rPr>
          <w:rFonts w:hint="eastAsia" w:ascii="方正小标宋简体" w:eastAsia="方正小标宋简体"/>
          <w:color w:val="000000"/>
          <w:sz w:val="44"/>
          <w:szCs w:val="44"/>
          <w:u w:val="none"/>
        </w:rPr>
        <w:t>预算信息公开</w:t>
      </w:r>
    </w:p>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pStyle w:val="3"/>
        <w:rPr>
          <w:rFonts w:hint="default" w:ascii="Cambria" w:eastAsia="黑体"/>
          <w:color w:val="000000"/>
          <w:sz w:val="36"/>
          <w:szCs w:val="32"/>
        </w:rPr>
      </w:pPr>
    </w:p>
    <w:p>
      <w:pPr>
        <w:spacing w:line="240" w:lineRule="exact"/>
        <w:jc w:val="center"/>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576"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16"/>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18"/>
          <w:kern w:val="0"/>
          <w:sz w:val="32"/>
          <w:szCs w:val="32"/>
          <w:u w:val="none"/>
          <w:lang w:val="zh-CN"/>
        </w:rPr>
        <w:t>十</w:t>
      </w:r>
      <w:r>
        <w:rPr>
          <w:rFonts w:hint="eastAsia" w:ascii="仿宋_GB2312" w:hAnsi="仿宋_GB2312" w:eastAsia="仿宋_GB2312" w:cs="仿宋_GB2312"/>
          <w:color w:val="000000"/>
          <w:spacing w:val="0"/>
          <w:kern w:val="0"/>
          <w:sz w:val="32"/>
          <w:szCs w:val="32"/>
          <w:u w:val="none"/>
          <w:lang w:val="zh-CN"/>
        </w:rPr>
        <w:t>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pStyle w:val="2"/>
        <w:rPr>
          <w:rFonts w:hint="eastAsia" w:ascii="方正小标宋简体" w:eastAsia="方正小标宋简体"/>
          <w:color w:val="000000"/>
          <w:sz w:val="36"/>
          <w:szCs w:val="36"/>
          <w:u w:val="none"/>
        </w:rPr>
      </w:pPr>
    </w:p>
    <w:p>
      <w:pPr>
        <w:pStyle w:val="2"/>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单位预算情况说明</w:t>
      </w:r>
    </w:p>
    <w:p>
      <w:pPr>
        <w:spacing w:line="360" w:lineRule="auto"/>
        <w:rPr>
          <w:rFonts w:hint="eastAsia" w:ascii="仿宋_GB2312" w:eastAsia="仿宋_GB2312"/>
          <w:color w:val="000000"/>
          <w:sz w:val="32"/>
          <w:szCs w:val="32"/>
          <w:u w:val="none"/>
        </w:rPr>
      </w:pP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snapToGrid w:val="0"/>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rPr>
        <w:t>根据中共北京市委机构编制委员会《关于市科委、中关村管委会所属事业单位改革有关事项的批复》（京编委〔2021〕66号</w:t>
      </w:r>
      <w:r>
        <w:rPr>
          <w:rFonts w:hint="eastAsia" w:ascii="仿宋_GB2312" w:hAnsi="仿宋_GB2312" w:eastAsia="仿宋_GB2312" w:cs="仿宋_GB2312"/>
          <w:sz w:val="32"/>
          <w:szCs w:val="32"/>
          <w:lang w:val="en-US" w:eastAsia="zh-CN"/>
        </w:rPr>
        <w:t>文件</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kern w:val="0"/>
          <w:sz w:val="32"/>
          <w:szCs w:val="32"/>
          <w:lang w:bidi="ar"/>
        </w:rPr>
        <w:t>整合北京科学仪器装</w:t>
      </w:r>
      <w:r>
        <w:rPr>
          <w:rFonts w:hint="eastAsia" w:ascii="仿宋_GB2312" w:hAnsi="仿宋_GB2312" w:eastAsia="仿宋_GB2312" w:cs="仿宋_GB2312"/>
          <w:color w:val="000000"/>
          <w:kern w:val="0"/>
          <w:sz w:val="32"/>
          <w:szCs w:val="32"/>
          <w:lang w:eastAsia="zh-CN" w:bidi="ar"/>
        </w:rPr>
        <w:t>备</w:t>
      </w:r>
      <w:r>
        <w:rPr>
          <w:rFonts w:hint="eastAsia" w:ascii="仿宋_GB2312" w:hAnsi="仿宋_GB2312" w:eastAsia="仿宋_GB2312" w:cs="仿宋_GB2312"/>
          <w:color w:val="000000"/>
          <w:kern w:val="0"/>
          <w:sz w:val="32"/>
          <w:szCs w:val="32"/>
          <w:lang w:bidi="ar"/>
        </w:rPr>
        <w:t>协作服务中心、北京科学技术开发交流中心,组建北京科技审评中心。</w:t>
      </w:r>
      <w:r>
        <w:rPr>
          <w:rFonts w:hint="eastAsia" w:ascii="仿宋_GB2312" w:hAnsi="仿宋_GB2312" w:eastAsia="仿宋_GB2312" w:cs="仿宋_GB2312"/>
          <w:sz w:val="32"/>
          <w:szCs w:val="32"/>
        </w:rPr>
        <w:t>主要职责：承担科研诚信、科技管理、科技资源配置政策研究、评审评估等事务性工作，承担科技管理平台建设运行、资产管理、科技监督等事务性工作。</w:t>
      </w:r>
    </w:p>
    <w:p>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rPr>
        <w:t>北京科技审评中心设立7个部门：综合管理部、资产管理部、财务管理部、监督诚信部、科研项目评审一部、科研项目评审二部、科研项目评审三部。</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lang w:eastAsia="zh-CN"/>
        </w:rPr>
        <w:t>北京科技审评中心</w:t>
      </w:r>
      <w:r>
        <w:rPr>
          <w:rFonts w:hint="eastAsia" w:ascii="仿宋_GB2312" w:eastAsia="仿宋_GB2312"/>
          <w:color w:val="000000"/>
          <w:sz w:val="32"/>
          <w:szCs w:val="32"/>
          <w:u w:val="none"/>
        </w:rPr>
        <w:t>事业编制</w:t>
      </w:r>
      <w:r>
        <w:rPr>
          <w:rFonts w:hint="eastAsia" w:ascii="仿宋_GB2312" w:eastAsia="仿宋_GB2312"/>
          <w:color w:val="000000"/>
          <w:sz w:val="32"/>
          <w:szCs w:val="32"/>
          <w:u w:val="none"/>
          <w:lang w:val="en-US" w:eastAsia="zh-CN"/>
        </w:rPr>
        <w:t>51</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val="en-US" w:eastAsia="zh-CN"/>
        </w:rPr>
        <w:t>44</w:t>
      </w:r>
      <w:r>
        <w:rPr>
          <w:rFonts w:hint="eastAsia" w:ascii="仿宋_GB2312" w:eastAsia="仿宋_GB2312"/>
          <w:color w:val="000000"/>
          <w:sz w:val="32"/>
          <w:szCs w:val="32"/>
          <w:u w:val="none"/>
        </w:rPr>
        <w:t>人；</w:t>
      </w:r>
      <w:r>
        <w:rPr>
          <w:rFonts w:hint="eastAsia" w:ascii="仿宋_GB2312" w:eastAsia="仿宋_GB2312"/>
          <w:sz w:val="32"/>
          <w:szCs w:val="32"/>
        </w:rPr>
        <w:t>离退休人员71人，其中：离休1人，退休7</w:t>
      </w:r>
      <w:r>
        <w:rPr>
          <w:rFonts w:hint="eastAsia" w:ascii="仿宋_GB2312" w:eastAsia="仿宋_GB2312"/>
          <w:sz w:val="32"/>
          <w:szCs w:val="32"/>
          <w:lang w:val="en-US" w:eastAsia="zh-CN"/>
        </w:rPr>
        <w:t>1</w:t>
      </w:r>
      <w:bookmarkStart w:id="0" w:name="_GoBack"/>
      <w:bookmarkEnd w:id="0"/>
      <w:r>
        <w:rPr>
          <w:rFonts w:hint="eastAsia" w:ascii="仿宋_GB2312" w:eastAsia="仿宋_GB2312"/>
          <w:sz w:val="32"/>
          <w:szCs w:val="32"/>
        </w:rPr>
        <w:t>人。</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2024年度收入预算</w:t>
      </w:r>
      <w:r>
        <w:rPr>
          <w:rFonts w:hint="eastAsia" w:ascii="仿宋_GB2312" w:eastAsia="仿宋_GB2312" w:cs="Droid Sans"/>
          <w:color w:val="auto"/>
          <w:sz w:val="32"/>
          <w:szCs w:val="32"/>
          <w:u w:val="none"/>
          <w:lang w:eastAsia="zh-CN"/>
        </w:rPr>
        <w:t>3</w:t>
      </w:r>
      <w:r>
        <w:rPr>
          <w:rFonts w:hint="eastAsia" w:ascii="仿宋_GB2312" w:eastAsia="仿宋_GB2312" w:cs="Droid Sans"/>
          <w:color w:val="auto"/>
          <w:sz w:val="32"/>
          <w:szCs w:val="32"/>
          <w:u w:val="none"/>
          <w:lang w:val="en-US" w:eastAsia="zh-CN"/>
        </w:rPr>
        <w:t>,912.79</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2023年年初预算数3</w:t>
      </w:r>
      <w:r>
        <w:rPr>
          <w:rFonts w:hint="eastAsia" w:ascii="仿宋_GB2312" w:eastAsia="仿宋_GB2312"/>
          <w:color w:val="auto"/>
          <w:sz w:val="32"/>
          <w:szCs w:val="32"/>
          <w:u w:val="none"/>
          <w:lang w:val="en-US" w:eastAsia="zh-CN"/>
        </w:rPr>
        <w:t>,068.64</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lang w:val="en-US" w:eastAsia="zh-CN"/>
        </w:rPr>
        <w:t>44.15</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7.51</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sz w:val="32"/>
          <w:szCs w:val="32"/>
        </w:rPr>
        <w:t>根据国家及我市关于政务系统整合相关要求，按照我委“三平台一中心”总体规划，开展科技计划综合管理平台的整合建设工作，更好支撑科技项目全过程管理工作，本年增加信息化项目一项，预算资金</w:t>
      </w:r>
      <w:r>
        <w:rPr>
          <w:rFonts w:hint="eastAsia" w:ascii="仿宋_GB2312" w:eastAsia="仿宋_GB2312"/>
          <w:sz w:val="32"/>
          <w:szCs w:val="32"/>
          <w:lang w:val="en-US" w:eastAsia="zh-CN"/>
        </w:rPr>
        <w:t>1,204.82</w:t>
      </w:r>
      <w:r>
        <w:rPr>
          <w:rFonts w:hint="eastAsia" w:ascii="仿宋_GB2312" w:eastAsia="仿宋_GB2312"/>
          <w:sz w:val="32"/>
          <w:szCs w:val="32"/>
        </w:rPr>
        <w:t>万元。</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本年财政拨款收入3</w:t>
      </w:r>
      <w:r>
        <w:rPr>
          <w:rFonts w:hint="eastAsia" w:ascii="楷体_GB2312" w:eastAsia="楷体_GB2312"/>
          <w:color w:val="auto"/>
          <w:sz w:val="32"/>
          <w:szCs w:val="32"/>
          <w:u w:val="none"/>
          <w:lang w:val="en-US" w:eastAsia="zh-CN"/>
        </w:rPr>
        <w:t>,912.79</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一般公共预算拨款收入3</w:t>
      </w:r>
      <w:r>
        <w:rPr>
          <w:rFonts w:hint="eastAsia" w:ascii="仿宋_GB2312" w:eastAsia="仿宋_GB2312" w:cs="Droid Sans"/>
          <w:color w:val="auto"/>
          <w:sz w:val="32"/>
          <w:szCs w:val="32"/>
          <w:u w:val="none"/>
          <w:lang w:val="en-US" w:eastAsia="zh-CN"/>
        </w:rPr>
        <w:t>,912.79</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收入0</w:t>
      </w:r>
      <w:r>
        <w:rPr>
          <w:rFonts w:hint="eastAsia" w:ascii="楷体_GB2312" w:eastAsia="楷体_GB2312" w:cs="Droid Sans"/>
          <w:color w:val="auto"/>
          <w:sz w:val="32"/>
          <w:szCs w:val="32"/>
          <w:u w:val="none"/>
          <w:lang w:val="en-US" w:eastAsia="zh-CN"/>
        </w:rPr>
        <w:t>.00</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0</w:t>
      </w:r>
      <w:r>
        <w:rPr>
          <w:rFonts w:hint="eastAsia" w:ascii="楷体_GB2312" w:eastAsia="楷体_GB2312" w:cs="Droid Sans"/>
          <w:color w:val="auto"/>
          <w:sz w:val="32"/>
          <w:szCs w:val="32"/>
          <w:u w:val="none"/>
          <w:lang w:val="en-US" w:eastAsia="zh-CN"/>
        </w:rPr>
        <w:t>.00</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pStyle w:val="3"/>
        <w:jc w:val="center"/>
        <w:rPr>
          <w:u w:val="none"/>
        </w:rPr>
      </w:pPr>
      <w:r>
        <w:drawing>
          <wp:inline distT="0" distB="0" distL="114300" distR="114300">
            <wp:extent cx="4819650" cy="2819400"/>
            <wp:effectExtent l="4445" t="4445" r="14605" b="8255"/>
            <wp:docPr id="1"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3"/>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,912.79</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w:t>
      </w:r>
      <w:r>
        <w:rPr>
          <w:rFonts w:hint="eastAsia" w:ascii="仿宋_GB2312" w:eastAsia="仿宋_GB2312"/>
          <w:color w:val="auto"/>
          <w:sz w:val="32"/>
          <w:szCs w:val="32"/>
          <w:u w:val="none"/>
          <w:lang w:val="en-US" w:eastAsia="zh-CN"/>
        </w:rPr>
        <w:t>3,068.64</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lang w:val="en-US" w:eastAsia="zh-CN"/>
        </w:rPr>
        <w:t>44.15</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7.51</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sz w:val="32"/>
          <w:szCs w:val="32"/>
        </w:rPr>
        <w:t>根据国家及我市关于政务系统整合相关要求，按照我委“三平台一中心”总体规划，开展科技计划综合管理平台的整合建设工作，更好支撑科技项目全过程管理工作，本年增加信息化项目一项，预算资金</w:t>
      </w:r>
      <w:r>
        <w:rPr>
          <w:rFonts w:hint="eastAsia" w:ascii="仿宋_GB2312" w:eastAsia="仿宋_GB2312"/>
          <w:sz w:val="32"/>
          <w:szCs w:val="32"/>
          <w:lang w:val="en-US" w:eastAsia="zh-CN"/>
        </w:rPr>
        <w:t>1,204.82</w:t>
      </w:r>
      <w:r>
        <w:rPr>
          <w:rFonts w:hint="eastAsia" w:ascii="仿宋_GB2312" w:eastAsia="仿宋_GB2312"/>
          <w:sz w:val="32"/>
          <w:szCs w:val="32"/>
        </w:rPr>
        <w:t>万元。</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1</w:t>
      </w:r>
      <w:r>
        <w:rPr>
          <w:rFonts w:hint="eastAsia" w:ascii="仿宋_GB2312" w:eastAsia="仿宋_GB2312"/>
          <w:color w:val="auto"/>
          <w:sz w:val="32"/>
          <w:szCs w:val="32"/>
          <w:highlight w:val="none"/>
          <w:u w:val="none"/>
          <w:lang w:val="en-US" w:eastAsia="zh-CN"/>
        </w:rPr>
        <w:t>,908.34</w:t>
      </w:r>
      <w:r>
        <w:rPr>
          <w:rFonts w:hint="eastAsia" w:ascii="仿宋_GB2312" w:eastAsia="仿宋_GB2312"/>
          <w:color w:val="auto"/>
          <w:sz w:val="32"/>
          <w:szCs w:val="32"/>
          <w:highlight w:val="none"/>
          <w:u w:val="none"/>
        </w:rPr>
        <w:t>万元，占总支出预算</w:t>
      </w:r>
      <w:r>
        <w:rPr>
          <w:rFonts w:hint="eastAsia" w:ascii="仿宋_GB2312" w:eastAsia="仿宋_GB2312"/>
          <w:color w:val="auto"/>
          <w:sz w:val="32"/>
          <w:szCs w:val="32"/>
          <w:highlight w:val="none"/>
          <w:u w:val="none"/>
          <w:lang w:val="en-US" w:eastAsia="zh-CN"/>
        </w:rPr>
        <w:t>48.77</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2023年年初预算数2</w:t>
      </w:r>
      <w:r>
        <w:rPr>
          <w:rFonts w:hint="eastAsia" w:ascii="仿宋_GB2312" w:eastAsia="仿宋_GB2312"/>
          <w:color w:val="auto"/>
          <w:sz w:val="32"/>
          <w:szCs w:val="32"/>
          <w:u w:val="none"/>
          <w:lang w:val="en-US" w:eastAsia="zh-CN"/>
        </w:rPr>
        <w:t>,126.63</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218.29</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10.26</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,004.45</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2023年年初预算数9</w:t>
      </w:r>
      <w:r>
        <w:rPr>
          <w:rFonts w:hint="eastAsia" w:ascii="仿宋_GB2312" w:eastAsia="仿宋_GB2312"/>
          <w:color w:val="auto"/>
          <w:sz w:val="32"/>
          <w:szCs w:val="32"/>
          <w:u w:val="none"/>
          <w:lang w:val="en-US" w:eastAsia="zh-CN"/>
        </w:rPr>
        <w:t>42.00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,062.45</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112.78</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pPr>
        <w:pStyle w:val="3"/>
        <w:ind w:firstLine="642"/>
        <w:jc w:val="center"/>
        <w:rPr>
          <w:color w:val="auto"/>
          <w:u w:val="none"/>
        </w:rPr>
      </w:pPr>
      <w:r>
        <w:drawing>
          <wp:inline distT="0" distB="0" distL="114300" distR="114300">
            <wp:extent cx="4095750" cy="2724150"/>
            <wp:effectExtent l="4445" t="4445" r="14605" b="14605"/>
            <wp:docPr id="3"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3"/>
        <w:ind w:firstLine="642"/>
        <w:jc w:val="center"/>
        <w:rPr>
          <w:rFonts w:hint="default" w:eastAsia="黑体"/>
          <w:color w:val="auto"/>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年终结转结余资金0</w:t>
      </w:r>
      <w:r>
        <w:rPr>
          <w:rFonts w:hint="eastAsia" w:ascii="楷体_GB2312" w:hAnsi="楷体_GB2312" w:eastAsia="楷体_GB2312" w:cs="楷体_GB2312"/>
          <w:color w:val="000000"/>
          <w:sz w:val="32"/>
          <w:szCs w:val="32"/>
          <w:highlight w:val="none"/>
          <w:u w:val="none"/>
          <w:lang w:val="en-US" w:eastAsia="zh-CN"/>
        </w:rPr>
        <w:t>.00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北京科技审评中心</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rPr>
        <w:t>个</w:t>
      </w:r>
      <w:r>
        <w:rPr>
          <w:rFonts w:hint="eastAsia" w:ascii="仿宋_GB2312" w:eastAsia="仿宋_GB2312"/>
          <w:color w:val="auto"/>
          <w:sz w:val="32"/>
          <w:szCs w:val="32"/>
          <w:u w:val="none"/>
          <w:lang w:eastAsia="zh-CN"/>
        </w:rPr>
        <w:t>事业</w:t>
      </w:r>
      <w:r>
        <w:rPr>
          <w:rFonts w:hint="eastAsia" w:ascii="仿宋_GB2312" w:eastAsia="仿宋_GB2312"/>
          <w:color w:val="auto"/>
          <w:sz w:val="32"/>
          <w:szCs w:val="32"/>
          <w:u w:val="none"/>
        </w:rPr>
        <w:t>单位</w:t>
      </w:r>
      <w:r>
        <w:rPr>
          <w:rFonts w:hint="eastAsia" w:ascii="仿宋_GB2312" w:eastAsia="仿宋_GB2312"/>
          <w:color w:val="auto"/>
          <w:sz w:val="32"/>
          <w:szCs w:val="32"/>
          <w:u w:val="none"/>
          <w:lang w:eastAsia="zh-CN"/>
        </w:rPr>
        <w:t>，无所属单位</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lang w:val="en-US" w:eastAsia="zh-CN"/>
        </w:rPr>
        <w:t>.17</w:t>
      </w:r>
      <w:r>
        <w:rPr>
          <w:rFonts w:hint="eastAsia" w:ascii="仿宋_GB2312" w:eastAsia="仿宋_GB2312"/>
          <w:color w:val="auto"/>
          <w:sz w:val="32"/>
          <w:szCs w:val="32"/>
          <w:u w:val="none"/>
        </w:rPr>
        <w:t>万元，</w:t>
      </w:r>
      <w:r>
        <w:rPr>
          <w:rFonts w:hint="eastAsia" w:ascii="仿宋_GB2312" w:hAnsi="Times New Roman" w:eastAsia="仿宋_GB2312"/>
          <w:sz w:val="32"/>
          <w:szCs w:val="32"/>
        </w:rPr>
        <w:t>与2023年“三公</w:t>
      </w:r>
      <w:r>
        <w:rPr>
          <w:rFonts w:hint="eastAsia" w:ascii="仿宋_GB2312" w:eastAsia="仿宋_GB2312"/>
          <w:sz w:val="32"/>
          <w:szCs w:val="32"/>
          <w:lang w:eastAsia="zh-CN"/>
        </w:rPr>
        <w:t>”</w:t>
      </w:r>
      <w:r>
        <w:rPr>
          <w:rFonts w:hint="eastAsia" w:ascii="仿宋_GB2312" w:hAnsi="Times New Roman" w:eastAsia="仿宋_GB2312"/>
          <w:sz w:val="32"/>
          <w:szCs w:val="32"/>
        </w:rPr>
        <w:t>经费财政拨款预算</w:t>
      </w:r>
      <w:r>
        <w:rPr>
          <w:rFonts w:hint="eastAsia" w:ascii="仿宋_GB2312" w:eastAsia="仿宋_GB2312"/>
          <w:sz w:val="32"/>
          <w:szCs w:val="32"/>
        </w:rPr>
        <w:t>持平</w:t>
      </w:r>
      <w:r>
        <w:rPr>
          <w:rFonts w:hint="eastAsia" w:ascii="仿宋_GB2312" w:eastAsia="仿宋_GB2312"/>
          <w:color w:val="auto"/>
          <w:sz w:val="32"/>
          <w:szCs w:val="32"/>
          <w:u w:val="none"/>
        </w:rPr>
        <w:t>。其中：</w:t>
      </w:r>
    </w:p>
    <w:p>
      <w:pPr>
        <w:spacing w:line="560" w:lineRule="exact"/>
        <w:ind w:firstLine="555"/>
        <w:rPr>
          <w:rFonts w:hint="eastAsia" w:ascii="仿宋_GB2312" w:hAnsi="Times New Roman" w:eastAsia="仿宋_GB2312"/>
          <w:sz w:val="32"/>
          <w:szCs w:val="32"/>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hAnsi="Times New Roman" w:eastAsia="仿宋_GB2312"/>
          <w:sz w:val="32"/>
          <w:szCs w:val="32"/>
        </w:rPr>
        <w:t>与2023年预算数持平。</w:t>
      </w:r>
    </w:p>
    <w:p>
      <w:pPr>
        <w:spacing w:line="560" w:lineRule="exact"/>
        <w:ind w:firstLine="555"/>
        <w:rPr>
          <w:rFonts w:hint="eastAsia" w:ascii="仿宋_GB2312" w:hAnsi="Times New Roman" w:eastAsia="仿宋_GB2312"/>
          <w:sz w:val="32"/>
          <w:szCs w:val="32"/>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.67</w:t>
      </w:r>
      <w:r>
        <w:rPr>
          <w:rFonts w:hint="eastAsia" w:ascii="仿宋_GB2312" w:eastAsia="仿宋_GB2312"/>
          <w:color w:val="auto"/>
          <w:sz w:val="32"/>
          <w:szCs w:val="32"/>
          <w:u w:val="none"/>
        </w:rPr>
        <w:t>万元，</w:t>
      </w:r>
      <w:r>
        <w:rPr>
          <w:rFonts w:hint="eastAsia" w:ascii="仿宋_GB2312" w:hAnsi="Times New Roman" w:eastAsia="仿宋_GB2312"/>
          <w:sz w:val="32"/>
          <w:szCs w:val="32"/>
        </w:rPr>
        <w:t>与2023年预算数持平。</w:t>
      </w:r>
    </w:p>
    <w:p>
      <w:pPr>
        <w:spacing w:line="560" w:lineRule="exact"/>
        <w:ind w:firstLine="555" w:firstLineChars="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7</w:t>
      </w:r>
      <w:r>
        <w:rPr>
          <w:rFonts w:hint="eastAsia" w:ascii="仿宋_GB2312" w:eastAsia="仿宋_GB2312"/>
          <w:color w:val="auto"/>
          <w:sz w:val="32"/>
          <w:szCs w:val="32"/>
          <w:u w:val="none"/>
          <w:lang w:val="en-US" w:eastAsia="zh-CN"/>
        </w:rPr>
        <w:t>.50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hAnsi="Times New Roman" w:eastAsia="仿宋_GB2312"/>
          <w:sz w:val="32"/>
          <w:szCs w:val="32"/>
        </w:rPr>
        <w:t>与2023年预算数持平。</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7</w:t>
      </w:r>
      <w:r>
        <w:rPr>
          <w:rFonts w:hint="eastAsia" w:ascii="仿宋_GB2312" w:eastAsia="仿宋_GB2312"/>
          <w:color w:val="auto"/>
          <w:sz w:val="32"/>
          <w:szCs w:val="32"/>
          <w:u w:val="none"/>
          <w:lang w:val="en-US" w:eastAsia="zh-CN"/>
        </w:rPr>
        <w:t>.50</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.97</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.28</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.28</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.97</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2024年预算数</w:t>
      </w:r>
      <w:r>
        <w:rPr>
          <w:rFonts w:hint="eastAsia" w:ascii="仿宋_GB2312" w:hAnsi="Times New Roman" w:eastAsia="仿宋_GB2312"/>
          <w:sz w:val="32"/>
          <w:szCs w:val="32"/>
        </w:rPr>
        <w:t>与2023年预算数持平。</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2024年北京科技审评中心</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,659.94</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,659.94</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60" w:lineRule="exact"/>
        <w:ind w:firstLine="640" w:firstLineChars="200"/>
        <w:rPr>
          <w:rFonts w:ascii="仿宋_GB2312" w:eastAsia="仿宋_GB2312"/>
          <w:sz w:val="32"/>
          <w:szCs w:val="32"/>
        </w:rPr>
      </w:pPr>
      <w:r>
        <w:rPr>
          <w:rFonts w:ascii="仿宋_GB2312" w:hAnsi="宋体" w:eastAsia="仿宋_GB2312" w:cs="宋体"/>
          <w:kern w:val="0"/>
          <w:sz w:val="32"/>
          <w:szCs w:val="32"/>
        </w:rPr>
        <w:t>本单位不属于政府购买服务购买主体</w:t>
      </w:r>
      <w:r>
        <w:rPr>
          <w:rFonts w:hint="eastAsia" w:ascii="仿宋_GB2312" w:hAnsi="宋体" w:eastAsia="仿宋_GB2312" w:cs="宋体"/>
          <w:kern w:val="0"/>
          <w:sz w:val="32"/>
          <w:szCs w:val="32"/>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spacing w:line="560" w:lineRule="exact"/>
        <w:ind w:firstLine="600"/>
        <w:rPr>
          <w:rFonts w:hint="eastAsia" w:ascii="仿宋_GB2312" w:eastAsia="仿宋_GB2312"/>
          <w:sz w:val="32"/>
          <w:szCs w:val="32"/>
          <w:lang w:eastAsia="zh-CN"/>
        </w:rPr>
      </w:pPr>
      <w:r>
        <w:rPr>
          <w:rFonts w:hint="eastAsia" w:ascii="仿宋_GB2312" w:eastAsia="仿宋_GB2312"/>
          <w:sz w:val="32"/>
          <w:szCs w:val="32"/>
        </w:rPr>
        <w:t>本</w:t>
      </w:r>
      <w:r>
        <w:rPr>
          <w:rFonts w:ascii="仿宋_GB2312" w:eastAsia="仿宋_GB2312"/>
          <w:sz w:val="32"/>
          <w:szCs w:val="32"/>
        </w:rPr>
        <w:t>单位不在机关运行经费统计范围之内</w:t>
      </w:r>
      <w:r>
        <w:rPr>
          <w:rFonts w:hint="eastAsia" w:ascii="仿宋_GB2312" w:eastAsia="仿宋_GB2312"/>
          <w:sz w:val="32"/>
          <w:szCs w:val="32"/>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北京科技审评中心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,004.45</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100.00</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pPr>
        <w:spacing w:line="560" w:lineRule="exact"/>
        <w:ind w:firstLine="640" w:firstLineChars="200"/>
        <w:rPr>
          <w:rFonts w:hint="eastAsia" w:ascii="仿宋_GB2312" w:hAnsi="Times New Roman" w:eastAsia="仿宋_GB2312"/>
          <w:sz w:val="32"/>
          <w:szCs w:val="32"/>
        </w:rPr>
      </w:pPr>
      <w:r>
        <w:rPr>
          <w:rFonts w:hint="eastAsia" w:ascii="仿宋_GB2312" w:eastAsia="仿宋_GB2312"/>
          <w:sz w:val="32"/>
          <w:szCs w:val="32"/>
        </w:rPr>
        <w:t>本单位2024年无重点行政事业性收费。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lang w:val="en-US"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2024</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rPr>
        <w:t>2023</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eastAsia="zh-CN"/>
        </w:rPr>
        <w:t>北京科技审评中心</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3</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45.42</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2024年预算安排中，购置单位价值50万元以上的设备0台（套），共计0.00万元。</w:t>
      </w:r>
    </w:p>
    <w:p>
      <w:pPr>
        <w:numPr>
          <w:ilvl w:val="0"/>
          <w:numId w:val="3"/>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hint="eastAsia" w:ascii="方正小标宋简体" w:eastAsia="方正小标宋简体"/>
          <w:color w:val="000000"/>
          <w:sz w:val="36"/>
          <w:szCs w:val="36"/>
          <w:u w:val="none"/>
        </w:rPr>
      </w:pPr>
    </w:p>
    <w:p>
      <w:pPr>
        <w:pStyle w:val="2"/>
        <w:rPr>
          <w:rFonts w:hint="eastAsia" w:ascii="方正小标宋简体" w:eastAsia="方正小标宋简体"/>
          <w:color w:val="000000"/>
          <w:sz w:val="36"/>
          <w:szCs w:val="36"/>
          <w:u w:val="none"/>
        </w:rPr>
      </w:pPr>
    </w:p>
    <w:p>
      <w:pPr>
        <w:pStyle w:val="2"/>
        <w:rPr>
          <w:rFonts w:hint="eastAsia" w:ascii="方正小标宋简体" w:eastAsia="方正小标宋简体"/>
          <w:color w:val="000000"/>
          <w:sz w:val="36"/>
          <w:szCs w:val="36"/>
          <w:u w:val="none"/>
        </w:rPr>
      </w:pPr>
    </w:p>
    <w:p>
      <w:pPr>
        <w:pStyle w:val="2"/>
        <w:rPr>
          <w:rFonts w:hint="eastAsia" w:ascii="方正小标宋简体" w:eastAsia="方正小标宋简体"/>
          <w:color w:val="000000"/>
          <w:sz w:val="36"/>
          <w:szCs w:val="36"/>
          <w:u w:val="none"/>
        </w:rPr>
      </w:pPr>
    </w:p>
    <w:p>
      <w:pPr>
        <w:pStyle w:val="2"/>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单位预算报表</w:t>
      </w:r>
    </w:p>
    <w:p>
      <w:pPr>
        <w:autoSpaceDE w:val="0"/>
        <w:autoSpaceDN w:val="0"/>
        <w:adjustRightInd w:val="0"/>
        <w:spacing w:line="560" w:lineRule="exact"/>
        <w:jc w:val="left"/>
        <w:rPr>
          <w:rFonts w:hint="eastAsia" w:ascii="方正小标宋简体" w:eastAsia="方正小标宋简体"/>
          <w:color w:val="000000"/>
          <w:sz w:val="36"/>
          <w:szCs w:val="36"/>
          <w:u w:val="none"/>
        </w:rPr>
      </w:pP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北京科技审评中心2024年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spacing w:line="560" w:lineRule="exact"/>
        <w:rPr>
          <w:rFonts w:hint="eastAsia" w:ascii="仿宋_GB2312" w:eastAsia="仿宋_GB2312"/>
          <w:color w:val="000000"/>
          <w:sz w:val="32"/>
          <w:szCs w:val="32"/>
          <w:u w:val="none"/>
        </w:rPr>
      </w:pPr>
    </w:p>
    <w:p>
      <w:pPr>
        <w:rPr>
          <w:rFonts w:hint="eastAsia" w:ascii="仿宋_GB2312" w:eastAsia="仿宋_GB2312"/>
          <w:sz w:val="32"/>
          <w:szCs w:val="32"/>
          <w:u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07FB9274-0360-4739-9FB5-BB1AF3715B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embedRegular r:id="rId2" w:fontKey="{017A2E59-4600-40DE-8254-C8AB43755E87}"/>
  </w:font>
  <w:font w:name="Cambria">
    <w:panose1 w:val="02040503050406030204"/>
    <w:charset w:val="00"/>
    <w:family w:val="roman"/>
    <w:pitch w:val="default"/>
    <w:sig w:usb0="E00006FF" w:usb1="420024FF" w:usb2="02000000" w:usb3="00000000" w:csb0="2000019F" w:csb1="00000000"/>
    <w:embedRegular r:id="rId3" w:fontKey="{4200AD0E-62A4-4C0C-BF92-9827612A88B4}"/>
  </w:font>
  <w:font w:name="楷体_GB2312">
    <w:panose1 w:val="02010609030101010101"/>
    <w:charset w:val="86"/>
    <w:family w:val="modern"/>
    <w:pitch w:val="default"/>
    <w:sig w:usb0="00000001" w:usb1="080E0000" w:usb2="00000000" w:usb3="00000000" w:csb0="00040000" w:csb1="00000000"/>
    <w:embedRegular r:id="rId4" w:fontKey="{8D658C6B-973F-4734-B2B8-FCBD711D0468}"/>
  </w:font>
  <w:font w:name="方正小标宋简体">
    <w:panose1 w:val="02000000000000000000"/>
    <w:charset w:val="86"/>
    <w:family w:val="auto"/>
    <w:pitch w:val="default"/>
    <w:sig w:usb0="00000001" w:usb1="080E0000" w:usb2="00000000" w:usb3="00000000" w:csb0="00040000" w:csb1="00000000"/>
    <w:embedRegular r:id="rId5" w:fontKey="{B4161567-2E49-458B-842D-3170D9F5FD95}"/>
  </w:font>
  <w:font w:name="仿宋_GB2312">
    <w:panose1 w:val="02010609030101010101"/>
    <w:charset w:val="86"/>
    <w:family w:val="modern"/>
    <w:pitch w:val="default"/>
    <w:sig w:usb0="00000001" w:usb1="080E0000" w:usb2="00000000" w:usb3="00000000" w:csb0="00040000" w:csb1="00000000"/>
    <w:embedRegular r:id="rId6" w:fontKey="{7FEF0E6E-2D3D-4A7B-9E0A-89C5E766D92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8Kz6jdAQAAvgMAAA4AAAAAAAAA&#10;AQAgAAAAHgEAAGRycy9lMm9Eb2MueG1sUEsFBgAAAAAGAAYAWQEAAG0FAAAAAA==&#10;">
              <v:fill on="f" focussize="0,0"/>
              <v:stroke on="f"/>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6"/>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436C2F89"/>
    <w:multiLevelType w:val="singleLevel"/>
    <w:tmpl w:val="436C2F89"/>
    <w:lvl w:ilvl="0" w:tentative="0">
      <w:start w:val="2"/>
      <w:numFmt w:val="chineseCounting"/>
      <w:suff w:val="nothing"/>
      <w:lvlText w:val="（%1）"/>
      <w:lvlJc w:val="left"/>
      <w:rPr>
        <w:rFonts w:hint="eastAsia"/>
      </w:rPr>
    </w:lvl>
  </w:abstractNum>
  <w:abstractNum w:abstractNumId="2">
    <w:nsid w:val="7A764CB8"/>
    <w:multiLevelType w:val="singleLevel"/>
    <w:tmpl w:val="7A764CB8"/>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lNDJlNzJlYmE4ODExOTVkYTJkOGVmMzlhOWNhNmUifQ=="/>
  </w:docVars>
  <w:rsids>
    <w:rsidRoot w:val="00797F79"/>
    <w:rsid w:val="0032325C"/>
    <w:rsid w:val="006F3CD8"/>
    <w:rsid w:val="008A2E8D"/>
    <w:rsid w:val="009F505C"/>
    <w:rsid w:val="01DE318D"/>
    <w:rsid w:val="0D663311"/>
    <w:rsid w:val="0EFFF08B"/>
    <w:rsid w:val="1556FFE7"/>
    <w:rsid w:val="18A35159"/>
    <w:rsid w:val="1CDC33FC"/>
    <w:rsid w:val="1E2F585A"/>
    <w:rsid w:val="1FB9016F"/>
    <w:rsid w:val="1FE6D21C"/>
    <w:rsid w:val="21276BC4"/>
    <w:rsid w:val="23735A5C"/>
    <w:rsid w:val="23E879C2"/>
    <w:rsid w:val="2BA60F2A"/>
    <w:rsid w:val="2F7EA178"/>
    <w:rsid w:val="2FF31CCC"/>
    <w:rsid w:val="3325249D"/>
    <w:rsid w:val="33573387"/>
    <w:rsid w:val="33BF5DDC"/>
    <w:rsid w:val="34A01C93"/>
    <w:rsid w:val="37BFBFEE"/>
    <w:rsid w:val="37FD2E23"/>
    <w:rsid w:val="38B820AB"/>
    <w:rsid w:val="3AEE7FDD"/>
    <w:rsid w:val="3B1D5808"/>
    <w:rsid w:val="3BD64001"/>
    <w:rsid w:val="3BFE8EC0"/>
    <w:rsid w:val="3D3B750B"/>
    <w:rsid w:val="3DFB85D7"/>
    <w:rsid w:val="3DFFFEEB"/>
    <w:rsid w:val="3E578A4D"/>
    <w:rsid w:val="3E7746F2"/>
    <w:rsid w:val="3EAFE38B"/>
    <w:rsid w:val="3EFB023F"/>
    <w:rsid w:val="3F5B7215"/>
    <w:rsid w:val="3F6FC1FB"/>
    <w:rsid w:val="3F730350"/>
    <w:rsid w:val="3F76647A"/>
    <w:rsid w:val="3FBA30DB"/>
    <w:rsid w:val="3FBFE16E"/>
    <w:rsid w:val="3FF7F9C0"/>
    <w:rsid w:val="3FFBC816"/>
    <w:rsid w:val="40D06340"/>
    <w:rsid w:val="4110665C"/>
    <w:rsid w:val="48D44964"/>
    <w:rsid w:val="4CD68066"/>
    <w:rsid w:val="4E067654"/>
    <w:rsid w:val="4E67CE40"/>
    <w:rsid w:val="4F6D150F"/>
    <w:rsid w:val="4FEE37C7"/>
    <w:rsid w:val="517E78AA"/>
    <w:rsid w:val="53DF3E7F"/>
    <w:rsid w:val="545DF6FA"/>
    <w:rsid w:val="55DE48F6"/>
    <w:rsid w:val="57ADBE82"/>
    <w:rsid w:val="57E332DD"/>
    <w:rsid w:val="57E9CD93"/>
    <w:rsid w:val="57EB425A"/>
    <w:rsid w:val="59D7A30C"/>
    <w:rsid w:val="5BEE7D82"/>
    <w:rsid w:val="5BFC36A8"/>
    <w:rsid w:val="5CA52215"/>
    <w:rsid w:val="5F5F35ED"/>
    <w:rsid w:val="5FB4B9F0"/>
    <w:rsid w:val="5FD532B6"/>
    <w:rsid w:val="5FE95128"/>
    <w:rsid w:val="5FFFD6B5"/>
    <w:rsid w:val="635D04D9"/>
    <w:rsid w:val="67BF653D"/>
    <w:rsid w:val="67FBD21B"/>
    <w:rsid w:val="68582FD6"/>
    <w:rsid w:val="69CDDFC6"/>
    <w:rsid w:val="6AFBD4E9"/>
    <w:rsid w:val="6BFE087F"/>
    <w:rsid w:val="6BFF83C2"/>
    <w:rsid w:val="6C5F4E7D"/>
    <w:rsid w:val="6D3F2E98"/>
    <w:rsid w:val="6DFE07CC"/>
    <w:rsid w:val="6DFFB2B9"/>
    <w:rsid w:val="6ECB6C3E"/>
    <w:rsid w:val="6F3A9571"/>
    <w:rsid w:val="6FCDA027"/>
    <w:rsid w:val="6FDC8289"/>
    <w:rsid w:val="71FF8133"/>
    <w:rsid w:val="729DB731"/>
    <w:rsid w:val="732F9AB6"/>
    <w:rsid w:val="73A5D6F8"/>
    <w:rsid w:val="74FD455A"/>
    <w:rsid w:val="75D907AF"/>
    <w:rsid w:val="763ED7FC"/>
    <w:rsid w:val="767FBCC8"/>
    <w:rsid w:val="76FE24ED"/>
    <w:rsid w:val="77773C62"/>
    <w:rsid w:val="777F4630"/>
    <w:rsid w:val="77A0515A"/>
    <w:rsid w:val="77DF7EB6"/>
    <w:rsid w:val="77FABEEF"/>
    <w:rsid w:val="7870246C"/>
    <w:rsid w:val="78F52093"/>
    <w:rsid w:val="797F48DA"/>
    <w:rsid w:val="79CFCA19"/>
    <w:rsid w:val="7B2E7344"/>
    <w:rsid w:val="7B503CA9"/>
    <w:rsid w:val="7B5B4466"/>
    <w:rsid w:val="7B8DB0E0"/>
    <w:rsid w:val="7BD7C5D4"/>
    <w:rsid w:val="7BDE2E6D"/>
    <w:rsid w:val="7BFAEA32"/>
    <w:rsid w:val="7C9BB5BA"/>
    <w:rsid w:val="7D629DCE"/>
    <w:rsid w:val="7D7E1C9B"/>
    <w:rsid w:val="7DAF9F6F"/>
    <w:rsid w:val="7DDF7761"/>
    <w:rsid w:val="7DFBA975"/>
    <w:rsid w:val="7E7F7957"/>
    <w:rsid w:val="7EBE6155"/>
    <w:rsid w:val="7F3BE6B0"/>
    <w:rsid w:val="7F3F94D5"/>
    <w:rsid w:val="7F3FC408"/>
    <w:rsid w:val="7F7AD461"/>
    <w:rsid w:val="7F9BB94C"/>
    <w:rsid w:val="7FB5D6F6"/>
    <w:rsid w:val="7FCD88E5"/>
    <w:rsid w:val="7FF59EC3"/>
    <w:rsid w:val="7FF9E7AB"/>
    <w:rsid w:val="7FFA4ACA"/>
    <w:rsid w:val="7FFFFE22"/>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Droid Sans"/>
      <w:kern w:val="2"/>
      <w:sz w:val="21"/>
      <w:szCs w:val="24"/>
      <w:lang w:val="en-US" w:eastAsia="zh-CN" w:bidi="ar-SA"/>
    </w:rPr>
  </w:style>
  <w:style w:type="paragraph" w:styleId="3">
    <w:name w:val="heading 2"/>
    <w:basedOn w:val="1"/>
    <w:next w:val="1"/>
    <w:autoRedefine/>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9">
    <w:name w:val="Default Paragraph Font"/>
    <w:autoRedefine/>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99"/>
    <w:pPr>
      <w:ind w:firstLine="420"/>
    </w:pPr>
  </w:style>
  <w:style w:type="paragraph" w:styleId="4">
    <w:name w:val="Date"/>
    <w:basedOn w:val="1"/>
    <w:next w:val="1"/>
    <w:autoRedefine/>
    <w:qFormat/>
    <w:uiPriority w:val="0"/>
    <w:rPr>
      <w:rFonts w:eastAsia="楷体_GB2312" w:cs="Droid Sans"/>
      <w:sz w:val="32"/>
      <w:szCs w:val="20"/>
      <w:lang w:bidi="ar-SA"/>
    </w:rPr>
  </w:style>
  <w:style w:type="paragraph" w:styleId="5">
    <w:name w:val="Balloon Text"/>
    <w:basedOn w:val="1"/>
    <w:link w:val="11"/>
    <w:autoRedefine/>
    <w:qFormat/>
    <w:uiPriority w:val="0"/>
    <w:rPr>
      <w:sz w:val="18"/>
      <w:szCs w:val="18"/>
    </w:rPr>
  </w:style>
  <w:style w:type="paragraph" w:styleId="6">
    <w:name w:val="footer"/>
    <w:basedOn w:val="1"/>
    <w:link w:val="12"/>
    <w:autoRedefine/>
    <w:qFormat/>
    <w:uiPriority w:val="99"/>
    <w:pPr>
      <w:tabs>
        <w:tab w:val="center" w:pos="4153"/>
        <w:tab w:val="right" w:pos="8306"/>
      </w:tabs>
      <w:snapToGrid w:val="0"/>
      <w:jc w:val="left"/>
    </w:pPr>
    <w:rPr>
      <w:sz w:val="18"/>
      <w:szCs w:val="20"/>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autoRedefine/>
    <w:qFormat/>
    <w:uiPriority w:val="0"/>
  </w:style>
  <w:style w:type="character" w:customStyle="1" w:styleId="11">
    <w:name w:val="批注框文本 Char"/>
    <w:link w:val="5"/>
    <w:autoRedefine/>
    <w:qFormat/>
    <w:uiPriority w:val="0"/>
    <w:rPr>
      <w:rFonts w:ascii="Times New Roman" w:hAnsi="Times New Roman"/>
      <w:kern w:val="2"/>
      <w:sz w:val="18"/>
      <w:szCs w:val="18"/>
    </w:rPr>
  </w:style>
  <w:style w:type="character" w:customStyle="1" w:styleId="12">
    <w:name w:val="页脚 Char"/>
    <w:link w:val="6"/>
    <w:autoRedefine/>
    <w:qFormat/>
    <w:uiPriority w:val="99"/>
    <w:rPr>
      <w:rFonts w:ascii="Times New Roman" w:hAnsi="Times New Roman"/>
      <w:kern w:val="2"/>
      <w:sz w:val="18"/>
    </w:rPr>
  </w:style>
  <w:style w:type="character" w:customStyle="1" w:styleId="13">
    <w:name w:val="页眉 Char"/>
    <w:link w:val="7"/>
    <w:autoRedefine/>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24037;&#20316;&#31807;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spc="0" baseline="0">
                <a:solidFill>
                  <a:srgbClr val="000000"/>
                </a:solidFill>
                <a:latin typeface="+mn-lt"/>
                <a:ea typeface="+mn-ea"/>
                <a:cs typeface="+mn-cs"/>
              </a:defRPr>
            </a:pPr>
            <a:r>
              <a:rPr altLang="en-US"/>
              <a:t>收入预算</a:t>
            </a:r>
            <a:endParaRPr lang="en-US" altLang="zh-CN"/>
          </a:p>
        </c:rich>
      </c:tx>
      <c:layout/>
      <c:overlay val="0"/>
      <c:spPr>
        <a:noFill/>
        <a:ln>
          <a:noFill/>
        </a:ln>
        <a:effectLst/>
      </c:spPr>
    </c:title>
    <c:autoTitleDeleted val="0"/>
    <c:plotArea>
      <c:layout/>
      <c:pieChart>
        <c:varyColors val="1"/>
        <c:ser>
          <c:idx val="0"/>
          <c:order val="0"/>
          <c:spPr>
            <a:solidFill>
              <a:srgbClr val="4F81BD"/>
            </a:solidFill>
            <a:ln w="12700">
              <a:noFill/>
            </a:ln>
            <a:effectLst/>
            <a:sp3d contourW="12700"/>
          </c:spPr>
          <c:explosion val="3"/>
          <c:dPt>
            <c:idx val="0"/>
            <c:bubble3D val="0"/>
            <c:spPr>
              <a:solidFill>
                <a:srgbClr val="4F81BD"/>
              </a:solidFill>
              <a:ln w="12700">
                <a:noFill/>
              </a:ln>
              <a:effectLst/>
              <a:sp3d contourW="12700"/>
            </c:spPr>
          </c:dPt>
          <c:dPt>
            <c:idx val="1"/>
            <c:bubble3D val="0"/>
            <c:spPr>
              <a:solidFill>
                <a:srgbClr val="C0504D"/>
              </a:solidFill>
              <a:ln w="12700">
                <a:noFill/>
              </a:ln>
              <a:effectLst/>
              <a:sp3d contourW="12700"/>
            </c:spPr>
          </c:dPt>
          <c:dPt>
            <c:idx val="2"/>
            <c:bubble3D val="0"/>
            <c:spPr>
              <a:solidFill>
                <a:srgbClr val="9BBB59"/>
              </a:solidFill>
              <a:ln w="12700">
                <a:noFill/>
              </a:ln>
              <a:effectLst/>
              <a:sp3d contourW="12700"/>
            </c:spPr>
          </c:dPt>
          <c:dPt>
            <c:idx val="3"/>
            <c:bubble3D val="0"/>
            <c:spPr>
              <a:solidFill>
                <a:srgbClr val="8064A2"/>
              </a:solidFill>
              <a:ln w="12700">
                <a:noFill/>
              </a:ln>
              <a:effectLst/>
              <a:sp3d contourW="12700"/>
            </c:spPr>
          </c:dPt>
          <c:dPt>
            <c:idx val="4"/>
            <c:bubble3D val="0"/>
            <c:spPr>
              <a:solidFill>
                <a:srgbClr val="4BACC6"/>
              </a:solidFill>
              <a:ln w="12700">
                <a:noFill/>
              </a:ln>
              <a:effectLst/>
              <a:sp3d contourW="12700"/>
            </c:spPr>
          </c:dPt>
          <c:dPt>
            <c:idx val="5"/>
            <c:bubble3D val="0"/>
            <c:spPr>
              <a:solidFill>
                <a:srgbClr val="F79646"/>
              </a:solidFill>
              <a:ln w="12700">
                <a:noFill/>
              </a:ln>
              <a:effectLst/>
              <a:sp3d contourW="12700"/>
            </c:spPr>
          </c:dPt>
          <c:dPt>
            <c:idx val="6"/>
            <c:bubble3D val="0"/>
            <c:spPr>
              <a:solidFill>
                <a:srgbClr val="4F81BD"/>
              </a:solidFill>
              <a:ln w="12700">
                <a:noFill/>
              </a:ln>
              <a:effectLst/>
              <a:sp3d contourW="12700"/>
            </c:spPr>
          </c:dPt>
          <c:dPt>
            <c:idx val="7"/>
            <c:bubble3D val="0"/>
            <c:spPr>
              <a:solidFill>
                <a:srgbClr val="4F81BD"/>
              </a:solidFill>
              <a:ln w="12700">
                <a:noFill/>
              </a:ln>
              <a:effectLst/>
              <a:sp3d contourW="12700"/>
            </c:spPr>
          </c:dPt>
          <c:dPt>
            <c:idx val="8"/>
            <c:bubble3D val="0"/>
            <c:spPr>
              <a:solidFill>
                <a:srgbClr val="4F81BD"/>
              </a:solidFill>
              <a:ln w="12700">
                <a:noFill/>
              </a:ln>
              <a:effectLst/>
              <a:sp3d contourW="12700"/>
            </c:spPr>
          </c:dPt>
          <c:dPt>
            <c:idx val="9"/>
            <c:bubble3D val="0"/>
            <c:spPr>
              <a:solidFill>
                <a:srgbClr val="4F81BD"/>
              </a:solidFill>
              <a:ln w="12700">
                <a:noFill/>
              </a:ln>
              <a:effectLst/>
              <a:sp3d contourW="12700"/>
            </c:spPr>
          </c:dPt>
          <c:dLbls>
            <c:dLbl>
              <c:idx val="0"/>
              <c:layout/>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1"/>
              <c:layout/>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2"/>
              <c:layout/>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3"/>
              <c:layout/>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4"/>
              <c:layout/>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5"/>
              <c:layout/>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7"/>
              <c:delete val="1"/>
            </c:dLbl>
            <c:dLbl>
              <c:idx val="8"/>
              <c:delete val="1"/>
            </c:dLbl>
            <c:dLbl>
              <c:idx val="9"/>
              <c:delete val="1"/>
            </c:dLbl>
            <c:numFmt formatCode="General" sourceLinked="1"/>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[工作簿1]Sheet1!$A$1:$J$1</c:f>
              <c:strCache>
                <c:ptCount val="10"/>
                <c:pt idx="0">
                  <c:v>一般公共预算拨款收入</c:v>
                </c:pt>
                <c:pt idx="1">
                  <c:v>政府性基金预算拨款收入</c:v>
                </c:pt>
                <c:pt idx="2">
                  <c:v>国有资本经营预算拨款收入</c:v>
                </c:pt>
                <c:pt idx="3">
                  <c:v>财政专户管理资金收入</c:v>
                </c:pt>
                <c:pt idx="4">
                  <c:v>事业收入</c:v>
                </c:pt>
                <c:pt idx="5">
                  <c:v>上级补助收入</c:v>
                </c:pt>
                <c:pt idx="6">
                  <c:v>附属单位上缴收入</c:v>
                </c:pt>
                <c:pt idx="7">
                  <c:v>事业单位经营收入</c:v>
                </c:pt>
                <c:pt idx="8">
                  <c:v>其他收入</c:v>
                </c:pt>
                <c:pt idx="9">
                  <c:v>其他收入</c:v>
                </c:pt>
              </c:strCache>
            </c:strRef>
          </c:cat>
          <c:val>
            <c:numRef>
              <c:f>[工作簿1]Sheet1!$A$2:$J$2</c:f>
              <c:numCache>
                <c:formatCode>0.00_);\(0.00\)</c:formatCode>
                <c:ptCount val="10"/>
                <c:pt idx="0">
                  <c:v>3912.79</c:v>
                </c:pt>
                <c:pt idx="1">
                  <c:v>0</c:v>
                </c:pt>
                <c:pt idx="2">
                  <c:v>0</c:v>
                </c:pt>
                <c:pt idx="3">
                  <c:v>0</c:v>
                </c:pt>
                <c:pt idx="4">
                  <c:v>0</c:v>
                </c:pt>
                <c:pt idx="5">
                  <c:v>0</c:v>
                </c:pt>
                <c:pt idx="6">
                  <c:v>0</c:v>
                </c:pt>
                <c:pt idx="7">
                  <c:v>0</c:v>
                </c:pt>
                <c:pt idx="8">
                  <c:v>0</c:v>
                </c:pt>
                <c:pt idx="9">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egendEntry>
        <c:idx val="6"/>
        <c:delete val="1"/>
      </c:legendEntry>
      <c:legendEntry>
        <c:idx val="7"/>
        <c:delete val="1"/>
      </c:legendEntry>
      <c:legendEntry>
        <c:idx val="8"/>
        <c:delete val="1"/>
      </c:legendEntry>
      <c:legendEntry>
        <c:idx val="9"/>
        <c:delete val="1"/>
      </c:legendEntry>
      <c:layout>
        <c:manualLayout>
          <c:xMode val="edge"/>
          <c:yMode val="edge"/>
          <c:x val="0.636758893280632"/>
          <c:y val="0.510923423423423"/>
        </c:manualLayout>
      </c:layout>
      <c:overlay val="0"/>
      <c:spPr>
        <a:noFill/>
        <a:ln>
          <a:noFill/>
        </a:ln>
        <a:effectLst/>
      </c:spPr>
      <c:txPr>
        <a:bodyPr rot="0" spcFirstLastPara="0" vertOverflow="ellipsis" vert="horz" wrap="square" anchor="ctr" anchorCtr="1" forceAA="0"/>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CAEACE"/>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spPr>
            <a:solidFill>
              <a:srgbClr val="4F81BD"/>
            </a:solidFill>
            <a:ln w="12700">
              <a:noFill/>
            </a:ln>
            <a:effectLst/>
            <a:sp3d contourW="12700"/>
          </c:spPr>
          <c:explosion val="3"/>
          <c:dPt>
            <c:idx val="0"/>
            <c:bubble3D val="0"/>
            <c:spPr>
              <a:solidFill>
                <a:srgbClr val="4F81BD"/>
              </a:solidFill>
              <a:ln w="12700">
                <a:noFill/>
              </a:ln>
              <a:effectLst/>
              <a:sp3d contourW="12700"/>
            </c:spPr>
          </c:dPt>
          <c:dPt>
            <c:idx val="1"/>
            <c:bubble3D val="0"/>
            <c:spPr>
              <a:solidFill>
                <a:srgbClr val="C0504D"/>
              </a:solidFill>
              <a:ln w="12700">
                <a:noFill/>
              </a:ln>
              <a:effectLst/>
              <a:sp3d contourW="12700"/>
            </c:spPr>
          </c:dPt>
          <c:dLbls>
            <c:dLbl>
              <c:idx val="0"/>
              <c:layout/>
              <c:numFmt formatCode="0.00%" sourceLinked="0"/>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dLbl>
              <c:idx val="1"/>
              <c:layout/>
              <c:numFmt formatCode="0.00%" sourceLinked="0"/>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eparator>
</c:separator>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forceAA="0"/>
              <a:lstStyle/>
              <a:p>
                <a:pPr>
                  <a:defRPr lang="zh-CN" sz="900" b="0" i="0" u="none" strike="noStrike" kern="1200" baseline="0">
                    <a:solidFill>
                      <a:srgbClr val="808080">
                        <a:lumMod val="50000"/>
                        <a:lumOff val="50000"/>
                      </a:srgbClr>
                    </a:solidFill>
                    <a:latin typeface="+mn-lt"/>
                    <a:ea typeface="+mn-ea"/>
                    <a:cs typeface="+mn-cs"/>
                  </a:defRPr>
                </a:pPr>
              </a:p>
            </c:txPr>
            <c:dLblPos val="outEnd"/>
            <c:showLegendKey val="1"/>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[工作簿2]Sheet1!$A$1:$B$1</c:f>
              <c:strCache>
                <c:ptCount val="2"/>
                <c:pt idx="0">
                  <c:v>基本支出</c:v>
                </c:pt>
                <c:pt idx="1">
                  <c:v>项目支出</c:v>
                </c:pt>
              </c:strCache>
            </c:strRef>
          </c:cat>
          <c:val>
            <c:numRef>
              <c:f>[工作簿2]Sheet1!$A$2:$B$2</c:f>
              <c:numCache>
                <c:formatCode>0.00%</c:formatCode>
                <c:ptCount val="2"/>
                <c:pt idx="0">
                  <c:v>0.4877</c:v>
                </c:pt>
                <c:pt idx="1">
                  <c:v>0.5123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CAEACE"/>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CAEACE"/>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CAEACE"/>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CAEACE"/>
        </a:solidFill>
      </a:ln>
    </cs:spPr>
  </cs:dataPoint>
  <cs:dataPoint3D>
    <cs:lnRef idx="0"/>
    <cs:fillRef idx="1">
      <cs:styleClr val="auto"/>
    </cs:fillRef>
    <cs:effectRef idx="0"/>
    <cs:fontRef idx="minor">
      <a:srgbClr val="000000"/>
    </cs:fontRef>
    <cs:spPr>
      <a:ln w="25400">
        <a:solidFill>
          <a:srgbClr val="CAEACE"/>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CAEACE"/>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CAEACE"/>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CAEACE"/>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CAEACE"/>
        </a:solidFill>
      </a:ln>
    </cs:spPr>
  </cs:dataPoint>
  <cs:dataPoint3D>
    <cs:lnRef idx="0"/>
    <cs:fillRef idx="1">
      <cs:styleClr val="auto"/>
    </cs:fillRef>
    <cs:effectRef idx="0"/>
    <cs:fontRef idx="minor">
      <a:srgbClr val="000000"/>
    </cs:fontRef>
    <cs:spPr>
      <a:ln w="25400">
        <a:solidFill>
          <a:srgbClr val="CAEACE"/>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CAEACE"/>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自定义 94">
    <a:dk1>
      <a:srgbClr val="000000"/>
    </a:dk1>
    <a:lt1>
      <a:srgbClr val="FFFFFF"/>
    </a:lt1>
    <a:dk2>
      <a:srgbClr val="0C0E1F"/>
    </a:dk2>
    <a:lt2>
      <a:srgbClr val="FEFFFF"/>
    </a:lt2>
    <a:accent1>
      <a:srgbClr val="00B2CC"/>
    </a:accent1>
    <a:accent2>
      <a:srgbClr val="FCB040"/>
    </a:accent2>
    <a:accent3>
      <a:srgbClr val="BFD546"/>
    </a:accent3>
    <a:accent4>
      <a:srgbClr val="2E6480"/>
    </a:accent4>
    <a:accent5>
      <a:srgbClr val="FF7B00"/>
    </a:accent5>
    <a:accent6>
      <a:srgbClr val="BE1D2C"/>
    </a:accent6>
    <a:hlink>
      <a:srgbClr val="304FFE"/>
    </a:hlink>
    <a:folHlink>
      <a:srgbClr val="492067"/>
    </a:folHlink>
  </a:clrScheme>
  <a:fontScheme name="自定义 2">
    <a:majorFont>
      <a:latin typeface="微软雅黑"/>
      <a:ea typeface="微软雅黑"/>
      <a:cs typeface=""/>
    </a:majorFont>
    <a:minorFont>
      <a:latin typeface="微软雅黑"/>
      <a:ea typeface="微软雅黑"/>
      <a:cs typeface=""/>
    </a:minorFont>
  </a:fontScheme>
  <a:fmtScheme name="Office">
    <a:fillStyleLst>
      <a:solidFill>
        <a:srgbClr val="FFFFFF"/>
      </a:solidFill>
      <a:gradFill rotWithShape="1">
        <a:gsLst>
          <a:gs pos="0">
            <a:srgbClr val="FFFFFF">
              <a:lumMod val="110000"/>
              <a:satMod val="105000"/>
              <a:tint val="67000"/>
            </a:srgbClr>
          </a:gs>
          <a:gs pos="50000">
            <a:srgbClr val="FFFFFF">
              <a:lumMod val="105000"/>
              <a:satMod val="103000"/>
              <a:tint val="73000"/>
            </a:srgbClr>
          </a:gs>
          <a:gs pos="100000">
            <a:srgbClr val="FFFFFF">
              <a:lumMod val="105000"/>
              <a:satMod val="109000"/>
              <a:tint val="81000"/>
            </a:srgbClr>
          </a:gs>
        </a:gsLst>
        <a:lin ang="5400000" scaled="0"/>
      </a:gradFill>
      <a:gradFill rotWithShape="1">
        <a:gsLst>
          <a:gs pos="0">
            <a:srgbClr val="FFFFFF">
              <a:satMod val="103000"/>
              <a:lumMod val="102000"/>
              <a:tint val="94000"/>
            </a:srgbClr>
          </a:gs>
          <a:gs pos="50000">
            <a:srgbClr val="FFFFFF">
              <a:satMod val="110000"/>
              <a:lumMod val="100000"/>
              <a:shade val="100000"/>
            </a:srgbClr>
          </a:gs>
          <a:gs pos="100000">
            <a:srgbClr val="E2E2E2">
              <a:lumMod val="99000"/>
              <a:satMod val="120000"/>
              <a:shade val="78000"/>
            </a:srgbClr>
          </a:gs>
        </a:gsLst>
        <a:lin ang="5400000" scaled="0"/>
      </a:gradFill>
    </a:fillStyleLst>
    <a:lnStyleLst>
      <a:ln w="6350" cap="flat" cmpd="sng" algn="ctr">
        <a:solidFill>
          <a:srgbClr val="FFFFFF"/>
        </a:solidFill>
        <a:prstDash val="solid"/>
        <a:miter lim="800000"/>
      </a:ln>
      <a:ln w="12700" cap="flat" cmpd="sng" algn="ctr">
        <a:solidFill>
          <a:srgbClr val="FFFFFF"/>
        </a:solidFill>
        <a:prstDash val="solid"/>
        <a:miter lim="800000"/>
      </a:ln>
      <a:ln w="19050" cap="flat" cmpd="sng" algn="ctr">
        <a:solidFill>
          <a:srgbClr val="FFFFFF"/>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rgbClr val="FFFFFF"/>
      </a:solidFill>
      <a:solidFill>
        <a:srgbClr val="FFFFFF">
          <a:tint val="95000"/>
          <a:satMod val="170000"/>
        </a:srgbClr>
      </a:solidFill>
      <a:gradFill rotWithShape="1">
        <a:gsLst>
          <a:gs pos="0">
            <a:srgbClr val="FFFFFF">
              <a:tint val="93000"/>
              <a:satMod val="150000"/>
              <a:shade val="98000"/>
              <a:lumMod val="102000"/>
            </a:srgbClr>
          </a:gs>
          <a:gs pos="50000">
            <a:srgbClr val="FBFBFB">
              <a:tint val="98000"/>
              <a:satMod val="130000"/>
              <a:shade val="90000"/>
              <a:lumMod val="103000"/>
            </a:srgbClr>
          </a:gs>
          <a:gs pos="100000">
            <a:srgbClr val="D0D0D0">
              <a:shade val="63000"/>
              <a:satMod val="120000"/>
            </a:srgbClr>
          </a:gs>
        </a:gsLst>
        <a:lin ang="5400000" scaled="0"/>
      </a:gradFill>
    </a:bgFillStyleLst>
  </a:fmtScheme>
</a:themeOverride>
</file>

<file path=word/theme/themeOverride2.xml><?xml version="1.0" encoding="utf-8"?>
<a:themeOverride xmlns:a="http://schemas.openxmlformats.org/drawingml/2006/main">
  <a:clrScheme name="自定义 94">
    <a:dk1>
      <a:srgbClr val="000000"/>
    </a:dk1>
    <a:lt1>
      <a:srgbClr val="FFFFFF"/>
    </a:lt1>
    <a:dk2>
      <a:srgbClr val="0C0E1F"/>
    </a:dk2>
    <a:lt2>
      <a:srgbClr val="FEFFFF"/>
    </a:lt2>
    <a:accent1>
      <a:srgbClr val="00B2CC"/>
    </a:accent1>
    <a:accent2>
      <a:srgbClr val="FCB040"/>
    </a:accent2>
    <a:accent3>
      <a:srgbClr val="BFD546"/>
    </a:accent3>
    <a:accent4>
      <a:srgbClr val="2E6480"/>
    </a:accent4>
    <a:accent5>
      <a:srgbClr val="FF7B00"/>
    </a:accent5>
    <a:accent6>
      <a:srgbClr val="BE1D2C"/>
    </a:accent6>
    <a:hlink>
      <a:srgbClr val="304FFE"/>
    </a:hlink>
    <a:folHlink>
      <a:srgbClr val="492067"/>
    </a:folHlink>
  </a:clrScheme>
  <a:fontScheme name="自定义 2">
    <a:majorFont>
      <a:latin typeface="微软雅黑"/>
      <a:ea typeface="微软雅黑"/>
      <a:cs typeface=""/>
    </a:majorFont>
    <a:minorFont>
      <a:latin typeface="微软雅黑"/>
      <a:ea typeface="微软雅黑"/>
      <a:cs typeface=""/>
    </a:minorFont>
  </a:fontScheme>
  <a:fmtScheme name="Office">
    <a:fillStyleLst>
      <a:solidFill>
        <a:srgbClr val="FFFFFF"/>
      </a:solidFill>
      <a:gradFill rotWithShape="1">
        <a:gsLst>
          <a:gs pos="0">
            <a:srgbClr val="FFFFFF">
              <a:lumMod val="110000"/>
              <a:satMod val="105000"/>
              <a:tint val="67000"/>
            </a:srgbClr>
          </a:gs>
          <a:gs pos="50000">
            <a:srgbClr val="FFFFFF">
              <a:lumMod val="105000"/>
              <a:satMod val="103000"/>
              <a:tint val="73000"/>
            </a:srgbClr>
          </a:gs>
          <a:gs pos="100000">
            <a:srgbClr val="FFFFFF">
              <a:lumMod val="105000"/>
              <a:satMod val="109000"/>
              <a:tint val="81000"/>
            </a:srgbClr>
          </a:gs>
        </a:gsLst>
        <a:lin ang="5400000" scaled="0"/>
      </a:gradFill>
      <a:gradFill rotWithShape="1">
        <a:gsLst>
          <a:gs pos="0">
            <a:srgbClr val="FFFFFF">
              <a:satMod val="103000"/>
              <a:lumMod val="102000"/>
              <a:tint val="94000"/>
            </a:srgbClr>
          </a:gs>
          <a:gs pos="50000">
            <a:srgbClr val="FFFFFF">
              <a:satMod val="110000"/>
              <a:lumMod val="100000"/>
              <a:shade val="100000"/>
            </a:srgbClr>
          </a:gs>
          <a:gs pos="100000">
            <a:srgbClr val="E2E2E2">
              <a:lumMod val="99000"/>
              <a:satMod val="120000"/>
              <a:shade val="78000"/>
            </a:srgbClr>
          </a:gs>
        </a:gsLst>
        <a:lin ang="5400000" scaled="0"/>
      </a:gradFill>
    </a:fillStyleLst>
    <a:lnStyleLst>
      <a:ln w="6350" cap="flat" cmpd="sng" algn="ctr">
        <a:solidFill>
          <a:srgbClr val="FFFFFF"/>
        </a:solidFill>
        <a:prstDash val="solid"/>
        <a:miter lim="800000"/>
      </a:ln>
      <a:ln w="12700" cap="flat" cmpd="sng" algn="ctr">
        <a:solidFill>
          <a:srgbClr val="FFFFFF"/>
        </a:solidFill>
        <a:prstDash val="solid"/>
        <a:miter lim="800000"/>
      </a:ln>
      <a:ln w="19050" cap="flat" cmpd="sng" algn="ctr">
        <a:solidFill>
          <a:srgbClr val="FFFFFF"/>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rgbClr val="FFFFFF"/>
      </a:solidFill>
      <a:solidFill>
        <a:srgbClr val="FFFFFF">
          <a:tint val="95000"/>
          <a:satMod val="170000"/>
        </a:srgbClr>
      </a:solidFill>
      <a:gradFill rotWithShape="1">
        <a:gsLst>
          <a:gs pos="0">
            <a:srgbClr val="FFFFFF">
              <a:tint val="93000"/>
              <a:satMod val="150000"/>
              <a:shade val="98000"/>
              <a:lumMod val="102000"/>
            </a:srgbClr>
          </a:gs>
          <a:gs pos="50000">
            <a:srgbClr val="FBFBFB">
              <a:tint val="98000"/>
              <a:satMod val="130000"/>
              <a:shade val="90000"/>
              <a:lumMod val="103000"/>
            </a:srgbClr>
          </a:gs>
          <a:gs pos="100000">
            <a:srgbClr val="D0D0D0">
              <a:shade val="63000"/>
              <a:satMod val="120000"/>
            </a:srgb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2292</Words>
  <Characters>13069</Characters>
  <Lines>108</Lines>
  <Paragraphs>30</Paragraphs>
  <TotalTime>3</TotalTime>
  <ScaleCrop>false</ScaleCrop>
  <LinksUpToDate>false</LinksUpToDate>
  <CharactersWithSpaces>15331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2022-02-07T01:48:00Z</dcterms:created>
  <dc:creator>马荣丽</dc:creator>
  <cp:lastModifiedBy>慕九</cp:lastModifiedBy>
  <cp:lastPrinted>2024-02-21T09:18:00Z</cp:lastPrinted>
  <dcterms:modified xsi:type="dcterms:W3CDTF">2024-03-11T07:56:44Z</dcterms:modified>
  <dc:title>处领导：</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629730881D634041B6A54A632532D49D_13</vt:lpwstr>
  </property>
</Properties>
</file>