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方正小标宋简体" w:eastAsia="方正小标宋简体"/>
          <w:color w:val="000000"/>
          <w:sz w:val="44"/>
          <w:szCs w:val="44"/>
          <w:u w:val="none"/>
          <w:lang w:eastAsia="zh-CN"/>
        </w:rPr>
      </w:pPr>
      <w:r>
        <w:rPr>
          <w:rFonts w:hint="eastAsia"/>
          <w:color w:val="auto"/>
          <w:sz w:val="36"/>
          <w:u w:val="none"/>
          <w:lang w:val="en-US" w:eastAsia="zh-CN"/>
        </w:rPr>
        <w:t xml:space="preserve">    </w:t>
      </w:r>
      <w:r>
        <w:rPr>
          <w:rFonts w:hint="eastAsia" w:ascii="方正小标宋简体" w:eastAsia="方正小标宋简体"/>
          <w:color w:val="000000"/>
          <w:sz w:val="44"/>
          <w:szCs w:val="44"/>
          <w:u w:val="none"/>
          <w:lang w:eastAsia="zh-CN"/>
        </w:rPr>
        <w:t>北京新材料和新能源科技发展中心</w:t>
      </w: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2024年度单位</w:t>
      </w:r>
      <w:r>
        <w:rPr>
          <w:rFonts w:hint="eastAsia" w:ascii="方正小标宋简体" w:eastAsia="方正小标宋简体"/>
          <w:color w:val="000000"/>
          <w:sz w:val="44"/>
          <w:szCs w:val="44"/>
          <w:u w:val="none"/>
        </w:rPr>
        <w:t>预算信息公开</w:t>
      </w: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spacing w:line="240" w:lineRule="exact"/>
        <w:jc w:val="both"/>
        <w:rPr>
          <w:rFonts w:hint="eastAsia" w:ascii="方正小标宋简体" w:eastAsia="方正小标宋简体"/>
          <w:color w:val="000000"/>
          <w:sz w:val="32"/>
          <w:szCs w:val="32"/>
          <w:u w:val="none"/>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2024年</w:t>
      </w:r>
      <w:r>
        <w:rPr>
          <w:rFonts w:hint="eastAsia" w:ascii="黑体" w:hAnsi="黑体" w:eastAsia="黑体" w:cs="黑体"/>
          <w:color w:val="000000"/>
          <w:sz w:val="32"/>
          <w:szCs w:val="32"/>
          <w:u w:val="none"/>
        </w:rPr>
        <w:t>度单位预算报表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二、收入总表    </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autoSpaceDE w:val="0"/>
        <w:autoSpaceDN w:val="0"/>
        <w:adjustRightInd w:val="0"/>
        <w:spacing w:line="560" w:lineRule="exact"/>
        <w:ind w:firstLine="64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autoSpaceDE w:val="0"/>
        <w:autoSpaceDN w:val="0"/>
        <w:adjustRightInd w:val="0"/>
        <w:spacing w:line="560" w:lineRule="exact"/>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七、一般公共预算财政拨款支出表</w:t>
      </w:r>
    </w:p>
    <w:p>
      <w:pPr>
        <w:autoSpaceDE w:val="0"/>
        <w:autoSpaceDN w:val="0"/>
        <w:adjustRightInd w:val="0"/>
        <w:spacing w:line="560" w:lineRule="exact"/>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 xml:space="preserve">    </w:t>
      </w:r>
      <w:r>
        <w:rPr>
          <w:rFonts w:hint="eastAsia" w:ascii="仿宋_GB2312" w:hAnsi="仿宋_GB2312" w:eastAsia="仿宋_GB2312" w:cs="仿宋_GB2312"/>
          <w:color w:val="000000"/>
          <w:spacing w:val="-16"/>
          <w:kern w:val="0"/>
          <w:sz w:val="32"/>
          <w:szCs w:val="32"/>
          <w:u w:val="none"/>
          <w:lang w:val="zh-CN"/>
        </w:rPr>
        <w:t>八、一般公共预算财政拨款基本支出表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autoSpaceDE w:val="0"/>
        <w:autoSpaceDN w:val="0"/>
        <w:adjustRightInd w:val="0"/>
        <w:spacing w:line="560" w:lineRule="exact"/>
        <w:ind w:firstLine="576"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autoSpaceDE w:val="0"/>
        <w:autoSpaceDN w:val="0"/>
        <w:adjustRightInd w:val="0"/>
        <w:spacing w:line="560" w:lineRule="exact"/>
        <w:ind w:firstLine="568" w:firstLineChars="200"/>
        <w:jc w:val="left"/>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18"/>
          <w:kern w:val="0"/>
          <w:sz w:val="32"/>
          <w:szCs w:val="32"/>
          <w:u w:val="none"/>
          <w:lang w:val="zh-CN"/>
        </w:rPr>
        <w:t>十</w:t>
      </w:r>
      <w:r>
        <w:rPr>
          <w:rFonts w:hint="eastAsia" w:ascii="仿宋_GB2312" w:hAnsi="仿宋_GB2312" w:eastAsia="仿宋_GB2312" w:cs="仿宋_GB2312"/>
          <w:color w:val="000000"/>
          <w:spacing w:val="0"/>
          <w:kern w:val="0"/>
          <w:sz w:val="32"/>
          <w:szCs w:val="32"/>
          <w:u w:val="none"/>
          <w:lang w:val="zh-CN"/>
        </w:rPr>
        <w:t>二、政府购买服务预算财政拨款明细表</w:t>
      </w:r>
    </w:p>
    <w:p>
      <w:pPr>
        <w:autoSpaceDE w:val="0"/>
        <w:autoSpaceDN w:val="0"/>
        <w:adjustRightInd w:val="0"/>
        <w:spacing w:line="560" w:lineRule="exact"/>
        <w:ind w:firstLine="640" w:firstLineChars="200"/>
        <w:jc w:val="left"/>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spacing w:line="560" w:lineRule="exact"/>
        <w:jc w:val="both"/>
        <w:rPr>
          <w:rFonts w:hint="eastAsia" w:ascii="仿宋_GB2312" w:hAnsi="仿宋_GB2312" w:eastAsia="仿宋_GB2312" w:cs="仿宋_GB2312"/>
          <w:color w:val="000000"/>
          <w:sz w:val="36"/>
          <w:szCs w:val="36"/>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单位预算情况说明</w:t>
      </w:r>
    </w:p>
    <w:p>
      <w:pPr>
        <w:spacing w:line="560" w:lineRule="exact"/>
        <w:ind w:firstLine="0" w:firstLineChars="0"/>
        <w:rPr>
          <w:rFonts w:hint="eastAsia" w:ascii="黑体" w:eastAsia="黑体"/>
          <w:color w:val="000000"/>
          <w:sz w:val="32"/>
          <w:szCs w:val="32"/>
          <w:u w:val="none"/>
          <w:lang w:eastAsia="zh-CN"/>
        </w:rPr>
      </w:pPr>
      <w:r>
        <w:rPr>
          <w:rFonts w:hint="eastAsia" w:ascii="仿宋_GB2312" w:eastAsia="仿宋_GB2312"/>
          <w:color w:val="000000"/>
          <w:sz w:val="32"/>
          <w:szCs w:val="32"/>
          <w:u w:val="none"/>
          <w:lang w:val="en-US" w:eastAsia="zh-CN"/>
        </w:rPr>
        <w:t xml:space="preserve">    </w:t>
      </w: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pPr>
        <w:spacing w:line="560" w:lineRule="exact"/>
        <w:ind w:firstLine="640" w:firstLineChars="200"/>
        <w:rPr>
          <w:rFonts w:hint="default" w:ascii="Cambria" w:eastAsia="黑体"/>
          <w:color w:val="000000"/>
          <w:sz w:val="36"/>
          <w:szCs w:val="32"/>
        </w:rPr>
      </w:pPr>
      <w:r>
        <w:rPr>
          <w:rFonts w:hint="eastAsia" w:ascii="仿宋_GB2312" w:eastAsia="仿宋_GB2312"/>
          <w:sz w:val="32"/>
          <w:szCs w:val="32"/>
        </w:rPr>
        <w:t>根据中共北京市委机构编制委员会《关于市科委、中关村管委会所属事业单位改革有关事项的批复》（京</w:t>
      </w:r>
      <w:r>
        <w:rPr>
          <w:rFonts w:hint="eastAsia" w:ascii="仿宋_GB2312" w:hAnsi="仿宋_GB2312" w:eastAsia="仿宋_GB2312" w:cs="仿宋_GB2312"/>
          <w:sz w:val="32"/>
          <w:szCs w:val="32"/>
        </w:rPr>
        <w:t>编委〔2021〕</w:t>
      </w:r>
      <w:r>
        <w:rPr>
          <w:rFonts w:hint="eastAsia" w:ascii="仿宋_GB2312" w:eastAsia="仿宋_GB2312"/>
          <w:sz w:val="32"/>
          <w:szCs w:val="32"/>
        </w:rPr>
        <w:t>66号）</w:t>
      </w:r>
      <w:r>
        <w:rPr>
          <w:rFonts w:hint="eastAsia" w:ascii="仿宋_GB2312" w:eastAsia="仿宋_GB2312"/>
          <w:color w:val="000000"/>
          <w:sz w:val="32"/>
          <w:szCs w:val="32"/>
        </w:rPr>
        <w:t>，</w:t>
      </w:r>
      <w:r>
        <w:rPr>
          <w:rFonts w:hint="eastAsia" w:ascii="仿宋_GB2312" w:eastAsia="仿宋_GB2312"/>
          <w:sz w:val="32"/>
          <w:szCs w:val="32"/>
        </w:rPr>
        <w:t>设立北京新材料和新能源科技发展中心。主要职责：承担新能源、新材料、新能源汽车、装备制造等领域科技创新布局研究、项目凝练、项目管理和创新主体服务等工作。</w:t>
      </w:r>
    </w:p>
    <w:p>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spacing w:line="560" w:lineRule="exact"/>
        <w:ind w:firstLine="640" w:firstLineChars="200"/>
        <w:rPr>
          <w:rFonts w:hint="default" w:ascii="Cambria" w:eastAsia="黑体"/>
          <w:color w:val="000000"/>
          <w:sz w:val="36"/>
          <w:szCs w:val="32"/>
        </w:rPr>
      </w:pPr>
      <w:r>
        <w:rPr>
          <w:rFonts w:hint="eastAsia" w:ascii="仿宋_GB2312" w:eastAsia="仿宋_GB2312"/>
          <w:sz w:val="32"/>
          <w:szCs w:val="32"/>
        </w:rPr>
        <w:t>北京新材料和新能源科技发展中心</w:t>
      </w:r>
      <w:r>
        <w:rPr>
          <w:rFonts w:hint="eastAsia" w:ascii="仿宋_GB2312" w:eastAsia="仿宋_GB2312" w:cs="Times New Roman"/>
          <w:sz w:val="32"/>
          <w:szCs w:val="32"/>
        </w:rPr>
        <w:t>下设8个部门，分别是综合管理部、战略新材料部、前沿新材料部、智能新能源汽车部、新能源部、高端装备制造部、未来产业科技部和创新发展部。</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40" w:firstLineChars="200"/>
        <w:rPr>
          <w:rFonts w:hint="eastAsia" w:ascii="黑体" w:eastAsia="黑体"/>
          <w:color w:val="000000"/>
          <w:sz w:val="32"/>
          <w:szCs w:val="32"/>
          <w:u w:val="none"/>
        </w:rPr>
      </w:pPr>
      <w:r>
        <w:rPr>
          <w:rFonts w:hint="eastAsia" w:ascii="仿宋_GB2312" w:eastAsia="仿宋_GB2312"/>
          <w:sz w:val="32"/>
          <w:szCs w:val="32"/>
        </w:rPr>
        <w:t>北京新材料和新能源科技发展中心</w:t>
      </w:r>
      <w:r>
        <w:rPr>
          <w:rFonts w:hint="eastAsia" w:ascii="仿宋_GB2312" w:eastAsia="仿宋_GB2312"/>
          <w:color w:val="000000"/>
          <w:sz w:val="32"/>
          <w:szCs w:val="32"/>
        </w:rPr>
        <w:t>事业编制58人，实有</w:t>
      </w:r>
      <w:r>
        <w:rPr>
          <w:rFonts w:hint="eastAsia" w:ascii="仿宋_GB2312" w:eastAsia="仿宋_GB2312"/>
          <w:color w:val="000000"/>
          <w:sz w:val="32"/>
          <w:szCs w:val="32"/>
          <w:highlight w:val="none"/>
        </w:rPr>
        <w:t>人数</w:t>
      </w:r>
      <w:r>
        <w:rPr>
          <w:rFonts w:hint="eastAsia" w:ascii="仿宋_GB2312" w:eastAsia="仿宋_GB2312"/>
          <w:color w:val="000000"/>
          <w:sz w:val="32"/>
          <w:szCs w:val="32"/>
          <w:highlight w:val="none"/>
          <w:lang w:val="en-US" w:eastAsia="zh-CN"/>
        </w:rPr>
        <w:t>49</w:t>
      </w:r>
      <w:r>
        <w:rPr>
          <w:rFonts w:hint="eastAsia" w:ascii="仿宋_GB2312" w:eastAsia="仿宋_GB2312"/>
          <w:color w:val="000000"/>
          <w:sz w:val="32"/>
          <w:szCs w:val="32"/>
          <w:highlight w:val="none"/>
        </w:rPr>
        <w:t>人；</w:t>
      </w:r>
      <w:r>
        <w:rPr>
          <w:rFonts w:hint="eastAsia" w:ascii="仿宋_GB2312" w:eastAsia="仿宋_GB2312"/>
          <w:sz w:val="32"/>
          <w:szCs w:val="32"/>
          <w:highlight w:val="none"/>
        </w:rPr>
        <w:t>离退休人员</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人，其中：离休</w:t>
      </w:r>
      <w:r>
        <w:rPr>
          <w:rFonts w:ascii="仿宋_GB2312" w:eastAsia="仿宋_GB2312"/>
          <w:sz w:val="32"/>
          <w:szCs w:val="32"/>
          <w:highlight w:val="none"/>
        </w:rPr>
        <w:t>0</w:t>
      </w:r>
      <w:r>
        <w:rPr>
          <w:rFonts w:hint="eastAsia" w:ascii="仿宋_GB2312" w:eastAsia="仿宋_GB2312"/>
          <w:sz w:val="32"/>
          <w:szCs w:val="32"/>
          <w:highlight w:val="none"/>
        </w:rPr>
        <w:t>人，退休</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人</w:t>
      </w:r>
      <w:r>
        <w:rPr>
          <w:rFonts w:ascii="仿宋_GB2312" w:eastAsia="仿宋_GB2312"/>
          <w:sz w:val="32"/>
          <w:szCs w:val="32"/>
          <w:highlight w:val="none"/>
        </w:rPr>
        <w:t>。</w:t>
      </w:r>
    </w:p>
    <w:p>
      <w:pPr>
        <w:spacing w:line="560" w:lineRule="exact"/>
        <w:ind w:firstLine="640" w:firstLineChars="200"/>
        <w:rPr>
          <w:rFonts w:hint="eastAsia" w:ascii="黑体" w:eastAsia="黑体"/>
          <w:color w:val="000000"/>
          <w:sz w:val="32"/>
          <w:szCs w:val="32"/>
          <w:highlight w:val="none"/>
          <w:u w:val="none"/>
          <w:lang w:eastAsia="zh-CN"/>
        </w:rPr>
      </w:pPr>
      <w:r>
        <w:rPr>
          <w:rFonts w:hint="eastAsia" w:ascii="黑体" w:eastAsia="黑体"/>
          <w:color w:val="000000"/>
          <w:sz w:val="32"/>
          <w:szCs w:val="32"/>
          <w:highlight w:val="none"/>
          <w:u w:val="none"/>
        </w:rPr>
        <w:t>二、收入</w:t>
      </w:r>
      <w:r>
        <w:rPr>
          <w:rFonts w:hint="eastAsia" w:ascii="黑体" w:eastAsia="黑体"/>
          <w:color w:val="000000"/>
          <w:sz w:val="32"/>
          <w:szCs w:val="32"/>
          <w:highlight w:val="none"/>
          <w:u w:val="none"/>
          <w:lang w:eastAsia="zh-CN"/>
        </w:rPr>
        <w:t>预算</w:t>
      </w:r>
      <w:r>
        <w:rPr>
          <w:rFonts w:hint="eastAsia" w:ascii="黑体" w:eastAsia="黑体"/>
          <w:color w:val="000000"/>
          <w:sz w:val="32"/>
          <w:szCs w:val="32"/>
          <w:highlight w:val="none"/>
          <w:u w:val="none"/>
        </w:rPr>
        <w:t>情况</w:t>
      </w:r>
      <w:r>
        <w:rPr>
          <w:rFonts w:hint="eastAsia" w:ascii="黑体" w:eastAsia="黑体"/>
          <w:color w:val="000000"/>
          <w:sz w:val="32"/>
          <w:szCs w:val="32"/>
          <w:highlight w:val="none"/>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highlight w:val="none"/>
          <w:u w:val="none"/>
          <w:lang w:val="en-US" w:eastAsia="zh-CN"/>
        </w:rPr>
        <w:t>2024年度收入预算</w:t>
      </w:r>
      <w:r>
        <w:rPr>
          <w:rFonts w:hint="eastAsia" w:ascii="仿宋_GB2312" w:eastAsia="仿宋_GB2312" w:cs="Droid Sans"/>
          <w:color w:val="auto"/>
          <w:sz w:val="32"/>
          <w:szCs w:val="32"/>
          <w:highlight w:val="none"/>
          <w:u w:val="none"/>
          <w:lang w:eastAsia="zh-CN"/>
        </w:rPr>
        <w:t>2</w:t>
      </w:r>
      <w:r>
        <w:rPr>
          <w:rFonts w:hint="eastAsia" w:ascii="仿宋_GB2312" w:eastAsia="仿宋_GB2312" w:cs="Droid Sans"/>
          <w:color w:val="auto"/>
          <w:sz w:val="32"/>
          <w:szCs w:val="32"/>
          <w:highlight w:val="none"/>
          <w:u w:val="none"/>
          <w:lang w:val="en-US" w:eastAsia="zh-CN"/>
        </w:rPr>
        <w:t>,594.32</w:t>
      </w:r>
      <w:r>
        <w:rPr>
          <w:rFonts w:hint="eastAsia" w:ascii="仿宋_GB2312" w:eastAsia="仿宋_GB2312" w:cs="Droid Sans"/>
          <w:color w:val="auto"/>
          <w:sz w:val="32"/>
          <w:szCs w:val="32"/>
          <w:highlight w:val="none"/>
          <w:u w:val="none"/>
        </w:rPr>
        <w:t>万元</w:t>
      </w:r>
      <w:r>
        <w:rPr>
          <w:rFonts w:hint="eastAsia" w:ascii="仿宋_GB2312" w:eastAsia="仿宋_GB2312" w:cs="Droid Sans"/>
          <w:color w:val="auto"/>
          <w:sz w:val="32"/>
          <w:szCs w:val="32"/>
          <w:highlight w:val="none"/>
          <w:u w:val="none"/>
          <w:lang w:eastAsia="zh-CN"/>
        </w:rPr>
        <w:t>，</w:t>
      </w:r>
      <w:r>
        <w:rPr>
          <w:rFonts w:hint="eastAsia" w:ascii="仿宋_GB2312" w:eastAsia="仿宋_GB2312"/>
          <w:color w:val="auto"/>
          <w:sz w:val="32"/>
          <w:szCs w:val="32"/>
          <w:highlight w:val="none"/>
          <w:u w:val="none"/>
        </w:rPr>
        <w:t>2023年年初预算数3,513.26万元（含</w:t>
      </w:r>
      <w:r>
        <w:rPr>
          <w:rFonts w:hint="eastAsia" w:ascii="仿宋_GB2312" w:eastAsia="仿宋_GB2312"/>
          <w:color w:val="auto"/>
          <w:sz w:val="32"/>
          <w:szCs w:val="32"/>
          <w:highlight w:val="none"/>
          <w:u w:val="none"/>
          <w:lang w:eastAsia="zh-CN"/>
        </w:rPr>
        <w:t>原</w:t>
      </w:r>
      <w:r>
        <w:rPr>
          <w:rFonts w:hint="eastAsia" w:ascii="仿宋_GB2312" w:eastAsia="仿宋_GB2312"/>
          <w:color w:val="auto"/>
          <w:sz w:val="32"/>
          <w:szCs w:val="32"/>
          <w:highlight w:val="none"/>
          <w:u w:val="none"/>
        </w:rPr>
        <w:t>15家涉改事业单位上年结转结余数），剔除上述因素后北京新材料和新能源科技发展中心2023年年初预算数为2,562.65万元，2024年度收入预算比2023年年初预算数增加31.67万元</w:t>
      </w:r>
      <w:r>
        <w:rPr>
          <w:rFonts w:hint="eastAsia" w:ascii="仿宋_GB2312" w:eastAsia="仿宋_GB2312"/>
          <w:color w:val="auto"/>
          <w:sz w:val="32"/>
          <w:szCs w:val="32"/>
          <w:u w:val="none"/>
        </w:rPr>
        <w:t>，增长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.24</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，基本持平。</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本年财政拨款收入2</w:t>
      </w:r>
      <w:r>
        <w:rPr>
          <w:rFonts w:hint="eastAsia" w:ascii="楷体_GB2312" w:eastAsia="楷体_GB2312"/>
          <w:color w:val="auto"/>
          <w:sz w:val="32"/>
          <w:szCs w:val="32"/>
          <w:u w:val="none"/>
          <w:lang w:val="en-US" w:eastAsia="zh-CN"/>
        </w:rPr>
        <w:t>,571.32</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一般公共预算拨款收入2</w:t>
      </w:r>
      <w:r>
        <w:rPr>
          <w:rFonts w:hint="eastAsia" w:ascii="仿宋_GB2312" w:eastAsia="仿宋_GB2312" w:cs="Droid Sans"/>
          <w:color w:val="auto"/>
          <w:sz w:val="32"/>
          <w:szCs w:val="32"/>
          <w:u w:val="none"/>
          <w:lang w:val="en-US" w:eastAsia="zh-CN"/>
        </w:rPr>
        <w:t>,571.32</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收入0</w:t>
      </w:r>
      <w:r>
        <w:rPr>
          <w:rFonts w:hint="eastAsia" w:ascii="楷体_GB2312" w:eastAsia="楷体_GB2312" w:cs="Droid Sans"/>
          <w:color w:val="auto"/>
          <w:sz w:val="32"/>
          <w:szCs w:val="32"/>
          <w:u w:val="none"/>
          <w:lang w:val="en-US" w:eastAsia="zh-CN"/>
        </w:rPr>
        <w:t>.00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8.事业单位经营收入0.00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9.其他收入0.00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olor w:val="auto"/>
          <w:sz w:val="32"/>
          <w:szCs w:val="32"/>
          <w:u w:val="none"/>
          <w:lang w:val="en-US" w:eastAsia="zh-CN"/>
        </w:rPr>
        <w:t>23.00</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10.上年结转结余23.00</w:t>
      </w:r>
      <w:r>
        <w:rPr>
          <w:rFonts w:hint="eastAsia" w:ascii="仿宋_GB2312" w:eastAsia="仿宋_GB2312" w:cs="Droid Sans"/>
          <w:color w:val="auto"/>
          <w:sz w:val="32"/>
          <w:szCs w:val="32"/>
          <w:u w:val="none"/>
        </w:rPr>
        <w:t>万元。</w:t>
      </w:r>
    </w:p>
    <w:p>
      <w:pPr>
        <w:spacing w:line="560" w:lineRule="exact"/>
        <w:ind w:firstLine="420" w:firstLineChars="200"/>
        <w:jc w:val="center"/>
        <w:rPr>
          <w:rFonts w:hint="eastAsia" w:ascii="仿宋_GB2312" w:eastAsia="仿宋_GB2312"/>
          <w:b/>
          <w:bCs/>
          <w:sz w:val="32"/>
        </w:rPr>
      </w:pPr>
      <w:r>
        <w:drawing>
          <wp:anchor distT="0" distB="0" distL="114300" distR="114300" simplePos="0" relativeHeight="251659264" behindDoc="0" locked="0" layoutInCell="1" allowOverlap="1">
            <wp:simplePos x="0" y="0"/>
            <wp:positionH relativeFrom="column">
              <wp:posOffset>357505</wp:posOffset>
            </wp:positionH>
            <wp:positionV relativeFrom="paragraph">
              <wp:posOffset>233680</wp:posOffset>
            </wp:positionV>
            <wp:extent cx="4819650" cy="2743200"/>
            <wp:effectExtent l="4445" t="4445" r="14605" b="14605"/>
            <wp:wrapNone/>
            <wp:docPr id="7"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pPr>
        <w:spacing w:line="560" w:lineRule="exact"/>
        <w:ind w:firstLine="643" w:firstLineChars="200"/>
        <w:jc w:val="center"/>
        <w:rPr>
          <w:rFonts w:hint="eastAsia" w:ascii="仿宋_GB2312" w:eastAsia="仿宋_GB2312"/>
          <w:b/>
          <w:bCs/>
          <w:sz w:val="32"/>
        </w:rPr>
      </w:pPr>
    </w:p>
    <w:p>
      <w:pPr>
        <w:pStyle w:val="2"/>
        <w:rPr>
          <w:rFonts w:hint="eastAsia" w:ascii="仿宋_GB2312" w:eastAsia="仿宋_GB2312"/>
          <w:b/>
          <w:bCs/>
          <w:sz w:val="32"/>
        </w:rPr>
      </w:pPr>
    </w:p>
    <w:p>
      <w:pPr>
        <w:rPr>
          <w:rFonts w:hint="eastAsia" w:ascii="仿宋_GB2312" w:eastAsia="仿宋_GB2312"/>
          <w:b/>
          <w:bCs/>
          <w:sz w:val="32"/>
        </w:rPr>
      </w:pPr>
    </w:p>
    <w:p>
      <w:pPr>
        <w:pStyle w:val="2"/>
        <w:rPr>
          <w:rFonts w:hint="eastAsia"/>
        </w:rPr>
      </w:pPr>
    </w:p>
    <w:p>
      <w:pPr>
        <w:spacing w:line="560" w:lineRule="exact"/>
        <w:ind w:firstLine="643" w:firstLineChars="200"/>
        <w:jc w:val="center"/>
        <w:rPr>
          <w:rFonts w:hint="eastAsia" w:ascii="仿宋_GB2312" w:eastAsia="仿宋_GB2312"/>
          <w:b/>
          <w:bCs/>
          <w:sz w:val="32"/>
        </w:rPr>
      </w:pPr>
    </w:p>
    <w:p>
      <w:pPr>
        <w:spacing w:line="560" w:lineRule="exact"/>
        <w:ind w:firstLine="643" w:firstLineChars="200"/>
        <w:jc w:val="center"/>
        <w:rPr>
          <w:rFonts w:hint="eastAsia" w:ascii="仿宋_GB2312" w:eastAsia="仿宋_GB2312"/>
          <w:b/>
          <w:bCs/>
          <w:sz w:val="32"/>
        </w:rPr>
      </w:pPr>
      <w:r>
        <w:rPr>
          <w:rFonts w:hint="eastAsia" w:ascii="仿宋_GB2312" w:eastAsia="仿宋_GB2312"/>
          <w:b/>
          <w:bCs/>
          <w:sz w:val="32"/>
        </w:rPr>
        <w:t>图1：收入预算</w:t>
      </w:r>
    </w:p>
    <w:p>
      <w:pPr>
        <w:pStyle w:val="2"/>
        <w:spacing w:line="560" w:lineRule="exact"/>
        <w:ind w:firstLine="643" w:firstLineChars="200"/>
        <w:jc w:val="left"/>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ascii="仿宋_GB2312" w:eastAsia="仿宋_GB2312"/>
          <w:sz w:val="32"/>
          <w:szCs w:val="32"/>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支出预算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,594.32</w:t>
      </w:r>
      <w:r>
        <w:rPr>
          <w:rFonts w:hint="eastAsia" w:ascii="仿宋_GB2312" w:eastAsia="仿宋_GB2312"/>
          <w:color w:val="auto"/>
          <w:sz w:val="32"/>
          <w:szCs w:val="32"/>
          <w:u w:val="none"/>
        </w:rPr>
        <w:t>万元，2023年年初预算数3,513.26万元（含</w:t>
      </w:r>
      <w:r>
        <w:rPr>
          <w:rFonts w:hint="eastAsia" w:ascii="仿宋_GB2312" w:eastAsia="仿宋_GB2312"/>
          <w:color w:val="auto"/>
          <w:sz w:val="32"/>
          <w:szCs w:val="32"/>
          <w:u w:val="none"/>
          <w:lang w:eastAsia="zh-CN"/>
        </w:rPr>
        <w:t>原</w:t>
      </w:r>
      <w:r>
        <w:rPr>
          <w:rFonts w:hint="eastAsia" w:ascii="仿宋_GB2312" w:eastAsia="仿宋_GB2312"/>
          <w:color w:val="auto"/>
          <w:sz w:val="32"/>
          <w:szCs w:val="32"/>
          <w:u w:val="none"/>
        </w:rPr>
        <w:t>15家涉改事业单位上年结转结余数），剔除上述因素后北京新材料和新能源科技发展中心2023年年初预算数为2,562.65万元，2024年度收入预算比2023年年初预算数增加31.67万元，增长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.24</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，基本持平。</w:t>
      </w:r>
    </w:p>
    <w:p>
      <w:pPr>
        <w:spacing w:line="560" w:lineRule="exact"/>
        <w:ind w:firstLine="640" w:firstLineChars="20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eastAsia="zh-CN"/>
        </w:rPr>
        <w:t>2</w:t>
      </w:r>
      <w:r>
        <w:rPr>
          <w:rFonts w:hint="eastAsia" w:ascii="仿宋_GB2312" w:eastAsia="仿宋_GB2312"/>
          <w:color w:val="auto"/>
          <w:sz w:val="32"/>
          <w:szCs w:val="32"/>
          <w:highlight w:val="none"/>
          <w:u w:val="none"/>
          <w:lang w:val="en-US" w:eastAsia="zh-CN"/>
        </w:rPr>
        <w:t>,391.83</w:t>
      </w:r>
      <w:r>
        <w:rPr>
          <w:rFonts w:hint="eastAsia" w:ascii="仿宋_GB2312" w:eastAsia="仿宋_GB2312"/>
          <w:color w:val="auto"/>
          <w:sz w:val="32"/>
          <w:szCs w:val="32"/>
          <w:highlight w:val="none"/>
          <w:u w:val="none"/>
        </w:rPr>
        <w:t>万元，占总支出预算</w:t>
      </w:r>
      <w:r>
        <w:rPr>
          <w:rFonts w:hint="eastAsia" w:ascii="仿宋_GB2312" w:eastAsia="仿宋_GB2312"/>
          <w:color w:val="auto"/>
          <w:sz w:val="32"/>
          <w:szCs w:val="32"/>
          <w:u w:val="none"/>
          <w:lang w:eastAsia="zh-CN"/>
        </w:rPr>
        <w:t>9</w:t>
      </w:r>
      <w:r>
        <w:rPr>
          <w:rFonts w:hint="eastAsia" w:ascii="仿宋_GB2312" w:eastAsia="仿宋_GB2312"/>
          <w:color w:val="auto"/>
          <w:sz w:val="32"/>
          <w:szCs w:val="32"/>
          <w:u w:val="none"/>
          <w:lang w:val="en-US" w:eastAsia="zh-CN"/>
        </w:rPr>
        <w:t>2.19</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2023年年初预算数2</w:t>
      </w:r>
      <w:r>
        <w:rPr>
          <w:rFonts w:hint="eastAsia" w:ascii="仿宋_GB2312" w:eastAsia="仿宋_GB2312"/>
          <w:color w:val="auto"/>
          <w:sz w:val="32"/>
          <w:szCs w:val="32"/>
          <w:u w:val="none"/>
          <w:lang w:val="en-US" w:eastAsia="zh-CN"/>
        </w:rPr>
        <w:t>,354.65</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val="en-US" w:eastAsia="zh-CN"/>
        </w:rPr>
        <w:t>37.18</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.58</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02.49</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2023年年初预算数2</w:t>
      </w:r>
      <w:r>
        <w:rPr>
          <w:rFonts w:hint="eastAsia" w:ascii="仿宋_GB2312" w:eastAsia="仿宋_GB2312"/>
          <w:color w:val="auto"/>
          <w:sz w:val="32"/>
          <w:szCs w:val="32"/>
          <w:u w:val="none"/>
          <w:lang w:val="en-US" w:eastAsia="zh-CN"/>
        </w:rPr>
        <w:t>08.00</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.51</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.65</w:t>
      </w:r>
      <w:r>
        <w:rPr>
          <w:rFonts w:hint="eastAsia" w:ascii="仿宋_GB2312" w:eastAsia="仿宋_GB2312"/>
          <w:color w:val="auto"/>
          <w:sz w:val="32"/>
          <w:szCs w:val="32"/>
          <w:u w:val="none"/>
        </w:rPr>
        <w:t>%。其中：</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eastAsia="zh-CN"/>
        </w:rPr>
        <w:t>0</w:t>
      </w:r>
      <w:r>
        <w:rPr>
          <w:rFonts w:hint="eastAsia" w:ascii="仿宋_GB2312" w:eastAsia="仿宋_GB2312" w:cs="Droid Sans"/>
          <w:color w:val="auto"/>
          <w:sz w:val="32"/>
          <w:szCs w:val="32"/>
          <w:u w:val="none"/>
          <w:lang w:val="en-US" w:eastAsia="zh-CN"/>
        </w:rPr>
        <w:t>.00</w:t>
      </w:r>
      <w:r>
        <w:rPr>
          <w:rFonts w:hint="eastAsia" w:ascii="仿宋_GB2312" w:eastAsia="仿宋_GB2312" w:cs="Droid Sans"/>
          <w:color w:val="auto"/>
          <w:sz w:val="32"/>
          <w:szCs w:val="32"/>
          <w:u w:val="none"/>
        </w:rPr>
        <w:t>万元。</w:t>
      </w:r>
    </w:p>
    <w:p>
      <w:pPr>
        <w:pStyle w:val="2"/>
        <w:ind w:firstLine="0"/>
        <w:jc w:val="left"/>
        <w:rPr>
          <w:color w:val="auto"/>
          <w:u w:val="none"/>
        </w:rPr>
      </w:pPr>
      <w:r>
        <w:drawing>
          <wp:anchor distT="0" distB="0" distL="114300" distR="114300" simplePos="0" relativeHeight="251660288" behindDoc="0" locked="0" layoutInCell="1" allowOverlap="1">
            <wp:simplePos x="0" y="0"/>
            <wp:positionH relativeFrom="column">
              <wp:posOffset>95250</wp:posOffset>
            </wp:positionH>
            <wp:positionV relativeFrom="paragraph">
              <wp:posOffset>250190</wp:posOffset>
            </wp:positionV>
            <wp:extent cx="4819650" cy="2743200"/>
            <wp:effectExtent l="4445" t="4445" r="14605" b="14605"/>
            <wp:wrapNone/>
            <wp:docPr id="3" name="图表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pPr>
        <w:pStyle w:val="2"/>
        <w:ind w:firstLine="0"/>
        <w:jc w:val="left"/>
        <w:rPr>
          <w:color w:val="auto"/>
          <w:u w:val="none"/>
        </w:rPr>
      </w:pPr>
    </w:p>
    <w:p>
      <w:pPr>
        <w:pStyle w:val="2"/>
        <w:ind w:firstLine="0"/>
        <w:jc w:val="left"/>
        <w:rPr>
          <w:color w:val="auto"/>
          <w:u w:val="none"/>
        </w:rPr>
      </w:pPr>
    </w:p>
    <w:p>
      <w:pPr>
        <w:pStyle w:val="2"/>
        <w:ind w:firstLine="0"/>
        <w:jc w:val="left"/>
        <w:rPr>
          <w:color w:val="auto"/>
          <w:u w:val="none"/>
        </w:rPr>
      </w:pPr>
    </w:p>
    <w:p>
      <w:pPr>
        <w:pStyle w:val="2"/>
        <w:ind w:firstLine="0"/>
        <w:jc w:val="left"/>
        <w:rPr>
          <w:color w:val="auto"/>
          <w:u w:val="none"/>
        </w:rPr>
      </w:pPr>
    </w:p>
    <w:p>
      <w:pPr>
        <w:pStyle w:val="2"/>
        <w:ind w:firstLine="642"/>
        <w:jc w:val="center"/>
        <w:rPr>
          <w:rFonts w:hint="default" w:eastAsia="黑体"/>
          <w:color w:val="auto"/>
          <w:highlight w:val="none"/>
          <w:u w:val="none"/>
          <w:lang w:eastAsia="zh-CN"/>
        </w:rPr>
      </w:pPr>
      <w:r>
        <w:rPr>
          <w:rFonts w:hint="eastAsia" w:ascii="仿宋_GB2312" w:eastAsia="仿宋_GB2312"/>
          <w:color w:val="auto"/>
          <w:sz w:val="32"/>
          <w:szCs w:val="32"/>
          <w:highlight w:val="none"/>
          <w:u w:val="none"/>
          <w:lang w:val="en-US" w:eastAsia="zh-CN"/>
        </w:rPr>
        <w:t>图2：基本支出和项目支出情况</w:t>
      </w:r>
    </w:p>
    <w:p>
      <w:pPr>
        <w:numPr>
          <w:ilvl w:val="0"/>
          <w:numId w:val="2"/>
        </w:numPr>
        <w:spacing w:line="560" w:lineRule="exact"/>
        <w:ind w:firstLine="640" w:firstLineChars="200"/>
        <w:rPr>
          <w:rFonts w:hint="eastAsia" w:ascii="楷体_GB2312" w:hAnsi="楷体_GB2312" w:eastAsia="楷体_GB2312" w:cs="楷体_GB2312"/>
          <w:color w:val="000000"/>
          <w:sz w:val="32"/>
          <w:szCs w:val="32"/>
          <w:highlight w:val="none"/>
          <w:u w:val="none"/>
          <w:lang w:eastAsia="zh-CN"/>
        </w:rPr>
      </w:pPr>
      <w:r>
        <w:rPr>
          <w:rFonts w:hint="eastAsia" w:ascii="楷体_GB2312" w:hAnsi="楷体_GB2312" w:eastAsia="楷体_GB2312" w:cs="楷体_GB2312"/>
          <w:color w:val="000000"/>
          <w:sz w:val="32"/>
          <w:szCs w:val="32"/>
          <w:highlight w:val="none"/>
          <w:u w:val="none"/>
          <w:lang w:eastAsia="zh-CN"/>
        </w:rPr>
        <w:t>年终结转结余资金0</w:t>
      </w:r>
      <w:r>
        <w:rPr>
          <w:rFonts w:hint="eastAsia" w:ascii="楷体_GB2312" w:hAnsi="楷体_GB2312" w:eastAsia="楷体_GB2312" w:cs="楷体_GB2312"/>
          <w:color w:val="000000"/>
          <w:sz w:val="32"/>
          <w:szCs w:val="32"/>
          <w:highlight w:val="none"/>
          <w:u w:val="none"/>
          <w:lang w:val="en-US" w:eastAsia="zh-CN"/>
        </w:rPr>
        <w:t>.00</w:t>
      </w:r>
      <w:r>
        <w:rPr>
          <w:rFonts w:hint="eastAsia" w:ascii="楷体_GB2312" w:hAnsi="楷体_GB2312" w:eastAsia="楷体_GB2312" w:cs="楷体_GB2312"/>
          <w:color w:val="000000"/>
          <w:sz w:val="32"/>
          <w:szCs w:val="32"/>
          <w:highlight w:val="none"/>
          <w:u w:val="none"/>
          <w:lang w:eastAsia="zh-CN"/>
        </w:rPr>
        <w:t>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北京新材料和新能源科技发展中心</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eastAsia="zh-CN"/>
        </w:rPr>
        <w:t>1个事业</w:t>
      </w:r>
      <w:r>
        <w:rPr>
          <w:rFonts w:hint="eastAsia" w:ascii="仿宋_GB2312" w:eastAsia="仿宋_GB2312"/>
          <w:color w:val="auto"/>
          <w:sz w:val="32"/>
          <w:szCs w:val="32"/>
          <w:u w:val="none"/>
        </w:rPr>
        <w:t>单位</w:t>
      </w:r>
      <w:r>
        <w:rPr>
          <w:rFonts w:hint="eastAsia" w:ascii="仿宋_GB2312" w:eastAsia="仿宋_GB2312"/>
          <w:color w:val="auto"/>
          <w:sz w:val="32"/>
          <w:szCs w:val="32"/>
          <w:u w:val="none"/>
          <w:lang w:eastAsia="zh-CN"/>
        </w:rPr>
        <w:t>，无所属单位</w:t>
      </w:r>
      <w:r>
        <w:rPr>
          <w:rFonts w:hint="eastAsia" w:ascii="仿宋_GB2312" w:eastAsia="仿宋_GB2312"/>
          <w:color w:val="auto"/>
          <w:sz w:val="32"/>
          <w:szCs w:val="32"/>
          <w:u w:val="none"/>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（二）财政拨款“三公”经费预算情况说明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与2023年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eastAsia="zh-CN"/>
        </w:rPr>
        <w:t>持平</w:t>
      </w:r>
      <w:r>
        <w:rPr>
          <w:rFonts w:hint="eastAsia" w:ascii="仿宋_GB2312" w:eastAsia="仿宋_GB2312"/>
          <w:color w:val="auto"/>
          <w:sz w:val="32"/>
          <w:szCs w:val="32"/>
          <w:u w:val="none"/>
        </w:rPr>
        <w:t>。其中：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,与上年预算持平</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val="en-US" w:eastAsia="zh-CN"/>
        </w:rPr>
        <w:t>,</w:t>
      </w:r>
      <w:r>
        <w:rPr>
          <w:rFonts w:hint="eastAsia" w:ascii="仿宋_GB2312" w:eastAsia="仿宋_GB2312"/>
          <w:color w:val="auto"/>
          <w:sz w:val="32"/>
          <w:szCs w:val="32"/>
          <w:u w:val="none"/>
          <w:lang w:eastAsia="zh-CN"/>
        </w:rPr>
        <w:t>与上年预算持平</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eastAsia="zh-CN"/>
        </w:rPr>
        <w:t>5</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eastAsia="zh-CN"/>
        </w:rPr>
        <w:t>2</w:t>
      </w:r>
      <w:r>
        <w:rPr>
          <w:rFonts w:hint="eastAsia" w:ascii="仿宋_GB2312" w:eastAsia="仿宋_GB2312"/>
          <w:color w:val="auto"/>
          <w:sz w:val="32"/>
          <w:szCs w:val="32"/>
          <w:u w:val="none"/>
          <w:lang w:val="en-US" w:eastAsia="zh-CN"/>
        </w:rPr>
        <w:t>.65</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.85</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.85</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.65</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，与</w:t>
      </w:r>
      <w:r>
        <w:rPr>
          <w:rFonts w:hint="eastAsia" w:ascii="仿宋_GB2312" w:eastAsia="仿宋_GB2312"/>
          <w:color w:val="auto"/>
          <w:sz w:val="32"/>
          <w:szCs w:val="32"/>
          <w:u w:val="none"/>
          <w:lang w:val="en-US" w:eastAsia="zh-CN"/>
        </w:rPr>
        <w:t>2023年持平。</w:t>
      </w:r>
      <w:bookmarkStart w:id="0" w:name="_GoBack"/>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bookmarkEnd w:id="0"/>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2024年北京新材料和新能源科技发展中心</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05.15</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eastAsia="zh-CN"/>
        </w:rPr>
        <w:t>6</w:t>
      </w:r>
      <w:r>
        <w:rPr>
          <w:rFonts w:hint="eastAsia" w:ascii="仿宋_GB2312" w:eastAsia="仿宋_GB2312"/>
          <w:color w:val="auto"/>
          <w:sz w:val="32"/>
          <w:szCs w:val="32"/>
          <w:u w:val="none"/>
          <w:lang w:val="en-US" w:eastAsia="zh-CN"/>
        </w:rPr>
        <w:t>.87</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eastAsia="zh-CN"/>
        </w:rPr>
        <w:t>0</w:t>
      </w:r>
      <w:r>
        <w:rPr>
          <w:rFonts w:hint="eastAsia" w:ascii="仿宋_GB2312" w:eastAsia="仿宋_GB2312"/>
          <w:color w:val="auto"/>
          <w:sz w:val="32"/>
          <w:szCs w:val="32"/>
          <w:u w:val="none"/>
          <w:lang w:val="en-US" w:eastAsia="zh-CN"/>
        </w:rPr>
        <w:t>.00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eastAsia="zh-CN"/>
        </w:rPr>
        <w:t>9</w:t>
      </w:r>
      <w:r>
        <w:rPr>
          <w:rFonts w:hint="eastAsia" w:ascii="仿宋_GB2312" w:eastAsia="仿宋_GB2312"/>
          <w:color w:val="auto"/>
          <w:sz w:val="32"/>
          <w:szCs w:val="32"/>
          <w:u w:val="none"/>
          <w:lang w:val="en-US" w:eastAsia="zh-CN"/>
        </w:rPr>
        <w:t>8.28</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60" w:lineRule="exact"/>
        <w:ind w:firstLine="640" w:firstLineChars="200"/>
        <w:rPr>
          <w:rFonts w:ascii="仿宋_GB2312" w:eastAsia="仿宋_GB2312"/>
          <w:sz w:val="32"/>
          <w:szCs w:val="32"/>
        </w:rPr>
      </w:pPr>
      <w:r>
        <w:rPr>
          <w:rFonts w:ascii="仿宋_GB2312" w:hAnsi="宋体" w:eastAsia="仿宋_GB2312" w:cs="宋体"/>
          <w:kern w:val="0"/>
          <w:sz w:val="32"/>
          <w:szCs w:val="32"/>
        </w:rPr>
        <w:t>本单位不属于政府购买服务购买主体</w:t>
      </w:r>
      <w:r>
        <w:rPr>
          <w:rFonts w:hint="eastAsia" w:ascii="仿宋_GB2312" w:hAnsi="宋体" w:eastAsia="仿宋_GB2312" w:cs="宋体"/>
          <w:kern w:val="0"/>
          <w:sz w:val="32"/>
          <w:szCs w:val="32"/>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w:t>
      </w:r>
      <w:r>
        <w:rPr>
          <w:rFonts w:ascii="仿宋_GB2312" w:eastAsia="仿宋_GB2312"/>
          <w:sz w:val="32"/>
          <w:szCs w:val="32"/>
        </w:rPr>
        <w:t>单位不在机关运行经费统计范围之内。</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北京新材料和新能源科技发展中心</w:t>
      </w:r>
      <w:r>
        <w:rPr>
          <w:rFonts w:hint="eastAsia" w:ascii="仿宋_GB2312" w:eastAsia="仿宋_GB2312"/>
          <w:color w:val="auto"/>
          <w:sz w:val="32"/>
          <w:szCs w:val="32"/>
          <w:u w:val="none"/>
        </w:rPr>
        <w:t>填报绩效目标的预算项目</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rPr>
        <w:t>个，占本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本年预算项目</w:t>
      </w:r>
      <w:r>
        <w:rPr>
          <w:rFonts w:hint="eastAsia" w:ascii="仿宋_GB2312" w:eastAsia="仿宋_GB2312"/>
          <w:color w:val="auto"/>
          <w:sz w:val="32"/>
          <w:szCs w:val="32"/>
          <w:u w:val="none"/>
          <w:lang w:eastAsia="zh-CN"/>
        </w:rPr>
        <w:t>3</w:t>
      </w:r>
      <w:r>
        <w:rPr>
          <w:rFonts w:hint="eastAsia" w:ascii="仿宋_GB2312" w:eastAsia="仿宋_GB2312"/>
          <w:color w:val="auto"/>
          <w:sz w:val="32"/>
          <w:szCs w:val="32"/>
          <w:u w:val="none"/>
        </w:rPr>
        <w:t>个的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00.00</w:t>
      </w:r>
      <w:r>
        <w:rPr>
          <w:rFonts w:hint="eastAsia" w:ascii="仿宋_GB2312" w:eastAsia="仿宋_GB2312"/>
          <w:color w:val="auto"/>
          <w:sz w:val="32"/>
          <w:szCs w:val="32"/>
          <w:u w:val="none"/>
        </w:rPr>
        <w:t>%。填报绩效目标的项目支出预算</w:t>
      </w:r>
      <w:r>
        <w:rPr>
          <w:rFonts w:hint="eastAsia" w:ascii="仿宋_GB2312" w:eastAsia="仿宋_GB2312"/>
          <w:color w:val="auto"/>
          <w:sz w:val="32"/>
          <w:szCs w:val="32"/>
          <w:highlight w:val="none"/>
          <w:u w:val="none"/>
          <w:lang w:eastAsia="zh-CN"/>
        </w:rPr>
        <w:t>2</w:t>
      </w:r>
      <w:r>
        <w:rPr>
          <w:rFonts w:hint="eastAsia" w:ascii="仿宋_GB2312" w:eastAsia="仿宋_GB2312"/>
          <w:color w:val="auto"/>
          <w:sz w:val="32"/>
          <w:szCs w:val="32"/>
          <w:highlight w:val="none"/>
          <w:u w:val="none"/>
          <w:lang w:val="en-US" w:eastAsia="zh-CN"/>
        </w:rPr>
        <w:t>02.49</w:t>
      </w:r>
      <w:r>
        <w:rPr>
          <w:rFonts w:hint="eastAsia" w:ascii="仿宋_GB2312" w:eastAsia="仿宋_GB2312"/>
          <w:color w:val="auto"/>
          <w:sz w:val="32"/>
          <w:szCs w:val="32"/>
          <w:u w:val="none"/>
        </w:rPr>
        <w:t>万元，占本</w:t>
      </w:r>
      <w:r>
        <w:rPr>
          <w:rFonts w:hint="eastAsia" w:ascii="仿宋_GB2312" w:eastAsia="仿宋_GB2312"/>
          <w:color w:val="auto"/>
          <w:sz w:val="32"/>
          <w:szCs w:val="32"/>
          <w:u w:val="none"/>
          <w:lang w:eastAsia="zh-CN"/>
        </w:rPr>
        <w:t>单位</w:t>
      </w:r>
      <w:r>
        <w:rPr>
          <w:rFonts w:hint="eastAsia" w:ascii="仿宋_GB2312" w:eastAsia="仿宋_GB2312"/>
          <w:color w:val="auto"/>
          <w:sz w:val="32"/>
          <w:szCs w:val="32"/>
          <w:u w:val="none"/>
        </w:rPr>
        <w:t>本年项目支出预算的</w:t>
      </w:r>
      <w:r>
        <w:rPr>
          <w:rFonts w:hint="eastAsia" w:ascii="仿宋_GB2312" w:eastAsia="仿宋_GB2312"/>
          <w:color w:val="auto"/>
          <w:sz w:val="32"/>
          <w:szCs w:val="32"/>
          <w:u w:val="none"/>
          <w:lang w:eastAsia="zh-CN"/>
        </w:rPr>
        <w:t>1</w:t>
      </w:r>
      <w:r>
        <w:rPr>
          <w:rFonts w:hint="eastAsia" w:ascii="仿宋_GB2312" w:eastAsia="仿宋_GB2312"/>
          <w:color w:val="auto"/>
          <w:sz w:val="32"/>
          <w:szCs w:val="32"/>
          <w:u w:val="none"/>
          <w:lang w:val="en-US" w:eastAsia="zh-CN"/>
        </w:rPr>
        <w:t>00.00</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（五）重点行政事业性收费情况说明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4</w:t>
      </w:r>
      <w:r>
        <w:rPr>
          <w:rFonts w:hint="eastAsia" w:ascii="仿宋_GB2312" w:eastAsia="仿宋_GB2312"/>
          <w:sz w:val="32"/>
          <w:szCs w:val="32"/>
        </w:rPr>
        <w:t>年无重点行政事业性收费。</w:t>
      </w:r>
    </w:p>
    <w:p>
      <w:pPr>
        <w:spacing w:line="560" w:lineRule="exact"/>
        <w:ind w:firstLine="640" w:firstLineChars="200"/>
        <w:rPr>
          <w:rFonts w:hint="eastAsia" w:ascii="楷体_GB2312" w:eastAsia="楷体_GB2312"/>
          <w:color w:val="auto"/>
          <w:sz w:val="32"/>
          <w:szCs w:val="32"/>
          <w:highlight w:val="none"/>
          <w:u w:val="none"/>
        </w:rPr>
      </w:pPr>
      <w:r>
        <w:rPr>
          <w:rFonts w:hint="eastAsia" w:ascii="楷体_GB2312" w:eastAsia="楷体_GB2312"/>
          <w:color w:val="auto"/>
          <w:sz w:val="32"/>
          <w:szCs w:val="32"/>
          <w:highlight w:val="none"/>
          <w:u w:val="none"/>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本单位202</w:t>
      </w:r>
      <w:r>
        <w:rPr>
          <w:rFonts w:hint="eastAsia" w:ascii="仿宋_GB2312" w:eastAsia="仿宋_GB2312"/>
          <w:sz w:val="32"/>
          <w:szCs w:val="32"/>
          <w:lang w:val="en-US" w:eastAsia="zh-CN"/>
        </w:rPr>
        <w:t>4</w:t>
      </w:r>
      <w:r>
        <w:rPr>
          <w:rFonts w:hint="eastAsia" w:ascii="仿宋_GB2312" w:eastAsia="仿宋_GB2312"/>
          <w:color w:val="000000"/>
          <w:sz w:val="32"/>
          <w:szCs w:val="32"/>
        </w:rPr>
        <w:t>年无国有资本经营预算财政拨款安排的预算。</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rPr>
        <w:t>2023</w:t>
      </w:r>
      <w:r>
        <w:rPr>
          <w:rFonts w:hint="eastAsia" w:ascii="仿宋_GB2312" w:eastAsia="仿宋_GB2312"/>
          <w:color w:val="000000"/>
          <w:sz w:val="32"/>
          <w:szCs w:val="32"/>
          <w:u w:val="none"/>
        </w:rPr>
        <w:t>年底，</w:t>
      </w:r>
      <w:r>
        <w:rPr>
          <w:rFonts w:hint="eastAsia" w:ascii="仿宋_GB2312" w:eastAsia="仿宋_GB2312"/>
          <w:color w:val="000000"/>
          <w:sz w:val="32"/>
          <w:szCs w:val="32"/>
          <w:u w:val="none"/>
          <w:lang w:eastAsia="zh-CN"/>
        </w:rPr>
        <w:t>北京新材料和新能源科技发展中心</w:t>
      </w:r>
      <w:r>
        <w:rPr>
          <w:rFonts w:hint="eastAsia" w:ascii="仿宋_GB2312" w:eastAsia="仿宋_GB2312"/>
          <w:color w:val="000000"/>
          <w:sz w:val="32"/>
          <w:szCs w:val="32"/>
          <w:u w:val="none"/>
        </w:rPr>
        <w:t>共有车辆</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0.00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2024年预算安排中，购置单位价值50万元以上的设备0台（套），共计0.00万元。</w:t>
      </w:r>
    </w:p>
    <w:p>
      <w:pPr>
        <w:spacing w:line="560" w:lineRule="exact"/>
        <w:ind w:firstLine="640" w:firstLineChars="200"/>
        <w:rPr>
          <w:rFonts w:hint="eastAsia" w:ascii="仿宋_GB2312" w:eastAsia="仿宋_GB2312"/>
          <w:color w:val="000000"/>
          <w:spacing w:val="-2"/>
          <w:sz w:val="32"/>
          <w:szCs w:val="32"/>
          <w:u w:val="none"/>
        </w:rPr>
      </w:pPr>
      <w:r>
        <w:rPr>
          <w:rFonts w:hint="eastAsia" w:ascii="黑体" w:eastAsia="黑体"/>
          <w:color w:val="000000"/>
          <w:sz w:val="32"/>
          <w:szCs w:val="32"/>
          <w:u w:val="none"/>
        </w:rPr>
        <w:t>六、名词解释</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hint="eastAsia" w:ascii="方正小标宋简体" w:eastAsia="方正小标宋简体"/>
          <w:color w:val="000000"/>
          <w:sz w:val="36"/>
          <w:szCs w:val="36"/>
          <w:u w:val="none"/>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2024年度</w:t>
      </w:r>
      <w:r>
        <w:rPr>
          <w:rFonts w:hint="eastAsia" w:ascii="方正小标宋简体" w:eastAsia="方正小标宋简体"/>
          <w:color w:val="000000"/>
          <w:sz w:val="36"/>
          <w:szCs w:val="36"/>
          <w:u w:val="none"/>
        </w:rPr>
        <w:t>单位预算报表</w:t>
      </w:r>
    </w:p>
    <w:p>
      <w:pPr>
        <w:autoSpaceDE w:val="0"/>
        <w:autoSpaceDN w:val="0"/>
        <w:adjustRightInd w:val="0"/>
        <w:spacing w:line="560" w:lineRule="exact"/>
        <w:jc w:val="left"/>
        <w:rPr>
          <w:rFonts w:hint="eastAsia" w:ascii="方正小标宋简体" w:eastAsia="方正小标宋简体"/>
          <w:color w:val="000000"/>
          <w:sz w:val="36"/>
          <w:szCs w:val="36"/>
          <w:u w:val="none"/>
        </w:rPr>
      </w:pP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eastAsia="zh-CN"/>
        </w:rPr>
        <w:t>北京新材料和新能源科技发展中心2024年</w:t>
      </w:r>
      <w:r>
        <w:rPr>
          <w:rFonts w:hint="eastAsia" w:ascii="仿宋_GB2312" w:eastAsia="仿宋_GB2312"/>
          <w:color w:val="000000"/>
          <w:sz w:val="32"/>
          <w:szCs w:val="32"/>
          <w:u w:val="none"/>
        </w:rPr>
        <w:t>度单位预算报表</w:t>
      </w:r>
      <w:r>
        <w:rPr>
          <w:rFonts w:hint="eastAsia" w:ascii="仿宋_GB2312" w:eastAsia="仿宋_GB2312" w:cs="宋体"/>
          <w:color w:val="000000"/>
          <w:kern w:val="0"/>
          <w:sz w:val="32"/>
          <w:szCs w:val="32"/>
          <w:u w:val="none"/>
          <w:lang w:val="zh-CN"/>
        </w:rPr>
        <w:t xml:space="preserve"> </w:t>
      </w:r>
    </w:p>
    <w:p>
      <w:pPr>
        <w:spacing w:line="560" w:lineRule="exact"/>
        <w:rPr>
          <w:rFonts w:hint="eastAsia" w:ascii="仿宋_GB2312" w:eastAsia="仿宋_GB2312"/>
          <w:color w:val="000000"/>
          <w:sz w:val="32"/>
          <w:szCs w:val="32"/>
          <w:u w:val="none"/>
        </w:rPr>
      </w:pPr>
    </w:p>
    <w:p>
      <w:pPr>
        <w:rPr>
          <w:rFonts w:hint="eastAsia" w:ascii="仿宋_GB2312" w:eastAsia="仿宋_GB2312"/>
          <w:sz w:val="32"/>
          <w:szCs w:val="32"/>
          <w:u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Arial Unicode MS"/>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vert="horz" wrap="none" lIns="0" tIns="0" rIns="0" bIns="0" anchor="t" anchorCtr="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wrPqN0BAAC+AwAADgAAAGRycy9lMm9Eb2MueG1srVPNjtMwEL4j8Q6W&#10;7zRpD6sqaroCqkVICJAWHsB1nMaS/+SZNikPAG/AiQt3nqvPwdhJurBc9sAlGc+Mv5nvm/HmdrCG&#10;nVQE7V3Nl4uSM+Wkb7Q71Pzzp7sXa84AhWuE8U7V/KyA326fP9v0oVIr33nTqMgIxEHVh5p3iKEq&#10;CpCdsgIWPihHwdZHK5CO8VA0UfSEbk2xKsubovexCdFLBUDe3RjkE2J8CqBvWy3VzsujVQ5H1KiM&#10;QKIEnQ7At7nbtlUSP7QtKGSm5sQU85eKkL1P32K7EdUhitBpObUgntLCI05WaEdFr1A7gYIdo/4H&#10;ymoZPfgWF9LbYiSSFSEWy/KRNvedCCpzIakhXEWH/wcr358+Rqabmt9w5oSlgV++f7v8+HX5+ZUt&#10;kzx9gIqy7gPl4fDKD7Q0sx/ImVgPbbTpT3wYxUnc81VcNSCT6dJ6tV6XFJIUmw+EXzxcDxHwjfKW&#10;JaPmkaaXRRWnd4Bj6pySqjl/p43JEzTuLwdhJk+Reh97TBYO+2EitPfNmfjQM6A6nY9fOOtpCWru&#10;aOc5M28daZz2ZTbibOxnQzhJF2uOnI3maxz36hiiPnR501JTEF4ekTrNBFIbY+2pOxprlmBawbQ3&#10;f55z1sOz2/4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8Kz6jdAQAAvgMAAA4AAAAAAAAA&#10;AQAgAAAAHgEAAGRycy9lMm9Eb2MueG1sUEsFBgAAAAAGAAYAWQEAAG0FAAAAAA==&#10;">
              <v:fill on="f" focussize="0,0"/>
              <v:stroke on="f"/>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6"/>
      <w:ind w:right="360" w:firstLine="360"/>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2E9D19"/>
    <w:multiLevelType w:val="singleLevel"/>
    <w:tmpl w:val="FF2E9D19"/>
    <w:lvl w:ilvl="0" w:tentative="0">
      <w:start w:val="3"/>
      <w:numFmt w:val="chineseCounting"/>
      <w:suff w:val="nothing"/>
      <w:lvlText w:val="（%1）"/>
      <w:lvlJc w:val="left"/>
      <w:rPr>
        <w:rFonts w:hint="eastAsia"/>
      </w:rPr>
    </w:lvl>
  </w:abstractNum>
  <w:abstractNum w:abstractNumId="1">
    <w:nsid w:val="620D1D3C"/>
    <w:multiLevelType w:val="singleLevel"/>
    <w:tmpl w:val="620D1D3C"/>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dit="trackedChange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5N2ZiN2M3ZGYxOWU1OWU4YTI2N2Y3YzEwNTY5YjgifQ=="/>
  </w:docVars>
  <w:rsids>
    <w:rsidRoot w:val="00797F79"/>
    <w:rsid w:val="0032325C"/>
    <w:rsid w:val="006F3CD8"/>
    <w:rsid w:val="008A2E8D"/>
    <w:rsid w:val="009049AF"/>
    <w:rsid w:val="009F505C"/>
    <w:rsid w:val="01415E71"/>
    <w:rsid w:val="01DE318D"/>
    <w:rsid w:val="01FF0067"/>
    <w:rsid w:val="04E470A0"/>
    <w:rsid w:val="08916E18"/>
    <w:rsid w:val="0BEF0560"/>
    <w:rsid w:val="0DBB595E"/>
    <w:rsid w:val="0E32465E"/>
    <w:rsid w:val="0EFFF08B"/>
    <w:rsid w:val="0F4B48EC"/>
    <w:rsid w:val="10C73523"/>
    <w:rsid w:val="1556FFE7"/>
    <w:rsid w:val="15E876C1"/>
    <w:rsid w:val="17C25929"/>
    <w:rsid w:val="17FB62F2"/>
    <w:rsid w:val="18E12103"/>
    <w:rsid w:val="1A2453EF"/>
    <w:rsid w:val="1A86414A"/>
    <w:rsid w:val="1BA81698"/>
    <w:rsid w:val="1C5E10E3"/>
    <w:rsid w:val="1DE1588B"/>
    <w:rsid w:val="1E2F585A"/>
    <w:rsid w:val="1E810409"/>
    <w:rsid w:val="1FB9016F"/>
    <w:rsid w:val="1FE6D21C"/>
    <w:rsid w:val="230629D3"/>
    <w:rsid w:val="23136F16"/>
    <w:rsid w:val="23735A5C"/>
    <w:rsid w:val="24947236"/>
    <w:rsid w:val="25A35622"/>
    <w:rsid w:val="260450C6"/>
    <w:rsid w:val="27AC35F6"/>
    <w:rsid w:val="29300F7A"/>
    <w:rsid w:val="2B2C257D"/>
    <w:rsid w:val="2B587C4C"/>
    <w:rsid w:val="2CF9108B"/>
    <w:rsid w:val="2E8E4403"/>
    <w:rsid w:val="2F0030A0"/>
    <w:rsid w:val="2F7EA178"/>
    <w:rsid w:val="2FF31CCC"/>
    <w:rsid w:val="329D6303"/>
    <w:rsid w:val="33BF5DDC"/>
    <w:rsid w:val="34F47E13"/>
    <w:rsid w:val="35254212"/>
    <w:rsid w:val="364D31B0"/>
    <w:rsid w:val="37BFBFEE"/>
    <w:rsid w:val="37FD2E23"/>
    <w:rsid w:val="38347120"/>
    <w:rsid w:val="3AEE7FDD"/>
    <w:rsid w:val="3B1D5808"/>
    <w:rsid w:val="3BFE8EC0"/>
    <w:rsid w:val="3D3B750B"/>
    <w:rsid w:val="3DFB85D7"/>
    <w:rsid w:val="3DFFFEEB"/>
    <w:rsid w:val="3E578A4D"/>
    <w:rsid w:val="3E7746F2"/>
    <w:rsid w:val="3EAFE38B"/>
    <w:rsid w:val="3EFB023F"/>
    <w:rsid w:val="3F5B7215"/>
    <w:rsid w:val="3F6FC1FB"/>
    <w:rsid w:val="3F730350"/>
    <w:rsid w:val="3F76647A"/>
    <w:rsid w:val="3FA959B3"/>
    <w:rsid w:val="3FBA30DB"/>
    <w:rsid w:val="3FBE4F4F"/>
    <w:rsid w:val="3FBFE16E"/>
    <w:rsid w:val="3FF7F9C0"/>
    <w:rsid w:val="3FFBC816"/>
    <w:rsid w:val="40060A9A"/>
    <w:rsid w:val="40F07512"/>
    <w:rsid w:val="42863496"/>
    <w:rsid w:val="441753C0"/>
    <w:rsid w:val="46F87E54"/>
    <w:rsid w:val="48AA54D8"/>
    <w:rsid w:val="48D44964"/>
    <w:rsid w:val="49D5204E"/>
    <w:rsid w:val="4A85651C"/>
    <w:rsid w:val="4CD68066"/>
    <w:rsid w:val="4E67CE40"/>
    <w:rsid w:val="4F6D150F"/>
    <w:rsid w:val="4FEE37C7"/>
    <w:rsid w:val="5106595B"/>
    <w:rsid w:val="5143147F"/>
    <w:rsid w:val="517E78AA"/>
    <w:rsid w:val="52494796"/>
    <w:rsid w:val="52661847"/>
    <w:rsid w:val="535739F5"/>
    <w:rsid w:val="53DF3E7F"/>
    <w:rsid w:val="545DF6FA"/>
    <w:rsid w:val="55DE48F6"/>
    <w:rsid w:val="561D09F4"/>
    <w:rsid w:val="57ADBE82"/>
    <w:rsid w:val="57E332DD"/>
    <w:rsid w:val="57E9CD93"/>
    <w:rsid w:val="57EB425A"/>
    <w:rsid w:val="59052B36"/>
    <w:rsid w:val="594327E8"/>
    <w:rsid w:val="59D7A30C"/>
    <w:rsid w:val="5A603618"/>
    <w:rsid w:val="5B455305"/>
    <w:rsid w:val="5BBC7CE5"/>
    <w:rsid w:val="5BD2799F"/>
    <w:rsid w:val="5BEE7D82"/>
    <w:rsid w:val="5BFC36A8"/>
    <w:rsid w:val="5C135322"/>
    <w:rsid w:val="5E8B1BDC"/>
    <w:rsid w:val="5F5F35ED"/>
    <w:rsid w:val="5FB4B9F0"/>
    <w:rsid w:val="5FD532B6"/>
    <w:rsid w:val="5FE95128"/>
    <w:rsid w:val="5FFFD6B5"/>
    <w:rsid w:val="60BF30D9"/>
    <w:rsid w:val="62421C53"/>
    <w:rsid w:val="6414427C"/>
    <w:rsid w:val="673B7F17"/>
    <w:rsid w:val="67BF653D"/>
    <w:rsid w:val="67FBD21B"/>
    <w:rsid w:val="68AD6EFB"/>
    <w:rsid w:val="68D83985"/>
    <w:rsid w:val="69CDDFC6"/>
    <w:rsid w:val="6AA9773B"/>
    <w:rsid w:val="6AFBD4E9"/>
    <w:rsid w:val="6BFE087F"/>
    <w:rsid w:val="6BFF83C2"/>
    <w:rsid w:val="6C5F4E7D"/>
    <w:rsid w:val="6C66727A"/>
    <w:rsid w:val="6D3F2E98"/>
    <w:rsid w:val="6DFE07CC"/>
    <w:rsid w:val="6DFFB2B9"/>
    <w:rsid w:val="6E9E0D6D"/>
    <w:rsid w:val="6ECB6C3E"/>
    <w:rsid w:val="6F3A9571"/>
    <w:rsid w:val="6FCDA027"/>
    <w:rsid w:val="6FDC8289"/>
    <w:rsid w:val="6FEA24DA"/>
    <w:rsid w:val="709C4BE4"/>
    <w:rsid w:val="71FF8133"/>
    <w:rsid w:val="72034980"/>
    <w:rsid w:val="729DB731"/>
    <w:rsid w:val="732F9AB6"/>
    <w:rsid w:val="739163F5"/>
    <w:rsid w:val="73A5D6F8"/>
    <w:rsid w:val="74FD455A"/>
    <w:rsid w:val="75D907AF"/>
    <w:rsid w:val="763ED7FC"/>
    <w:rsid w:val="767FBCC8"/>
    <w:rsid w:val="76FE24ED"/>
    <w:rsid w:val="77773C62"/>
    <w:rsid w:val="777F4630"/>
    <w:rsid w:val="77DF7EB6"/>
    <w:rsid w:val="77E0050D"/>
    <w:rsid w:val="77F8119E"/>
    <w:rsid w:val="77FABEEF"/>
    <w:rsid w:val="78F52093"/>
    <w:rsid w:val="79237F02"/>
    <w:rsid w:val="797F48DA"/>
    <w:rsid w:val="79CFCA19"/>
    <w:rsid w:val="7A01628B"/>
    <w:rsid w:val="7A405991"/>
    <w:rsid w:val="7B2E7344"/>
    <w:rsid w:val="7B503CA9"/>
    <w:rsid w:val="7B5B4466"/>
    <w:rsid w:val="7B8DB0E0"/>
    <w:rsid w:val="7BC25FBC"/>
    <w:rsid w:val="7BD7C5D4"/>
    <w:rsid w:val="7BDE2E6D"/>
    <w:rsid w:val="7BFAEA32"/>
    <w:rsid w:val="7C9BB5BA"/>
    <w:rsid w:val="7D629DCE"/>
    <w:rsid w:val="7D7E1C9B"/>
    <w:rsid w:val="7DAF9F6F"/>
    <w:rsid w:val="7DDF7761"/>
    <w:rsid w:val="7DFBA975"/>
    <w:rsid w:val="7E7F7957"/>
    <w:rsid w:val="7E8616DB"/>
    <w:rsid w:val="7EB240CA"/>
    <w:rsid w:val="7EBE6155"/>
    <w:rsid w:val="7F3BE6B0"/>
    <w:rsid w:val="7F3F94D5"/>
    <w:rsid w:val="7F3FC408"/>
    <w:rsid w:val="7F7AD461"/>
    <w:rsid w:val="7F9BB94C"/>
    <w:rsid w:val="7FB5D6F6"/>
    <w:rsid w:val="7FCD88E5"/>
    <w:rsid w:val="7FF59EC3"/>
    <w:rsid w:val="7FF9E7AB"/>
    <w:rsid w:val="7FFA4ACA"/>
    <w:rsid w:val="7FFFFE22"/>
    <w:rsid w:val="97EF9245"/>
    <w:rsid w:val="9B6FD390"/>
    <w:rsid w:val="9BFF5F19"/>
    <w:rsid w:val="9FEBAB83"/>
    <w:rsid w:val="9FF55FF2"/>
    <w:rsid w:val="9FFDCF93"/>
    <w:rsid w:val="ADDB0121"/>
    <w:rsid w:val="AF738C62"/>
    <w:rsid w:val="AF77E555"/>
    <w:rsid w:val="AFFE8D53"/>
    <w:rsid w:val="AFFEB70B"/>
    <w:rsid w:val="AFFFF77B"/>
    <w:rsid w:val="B39883F1"/>
    <w:rsid w:val="B3FEB972"/>
    <w:rsid w:val="B5DAA59F"/>
    <w:rsid w:val="B6E956E9"/>
    <w:rsid w:val="B6FFE3F9"/>
    <w:rsid w:val="B9C511BB"/>
    <w:rsid w:val="B9E3AE77"/>
    <w:rsid w:val="B9FF9DD8"/>
    <w:rsid w:val="BA8DB816"/>
    <w:rsid w:val="BB7F4D3C"/>
    <w:rsid w:val="BBAFC879"/>
    <w:rsid w:val="BBFDC091"/>
    <w:rsid w:val="BC3FB194"/>
    <w:rsid w:val="BC93032D"/>
    <w:rsid w:val="BCDC4AFD"/>
    <w:rsid w:val="BEEF0D30"/>
    <w:rsid w:val="BEFF6650"/>
    <w:rsid w:val="BF7B23E6"/>
    <w:rsid w:val="BFBFE194"/>
    <w:rsid w:val="BFCFAEF2"/>
    <w:rsid w:val="BFEF3728"/>
    <w:rsid w:val="BFEF4CA0"/>
    <w:rsid w:val="BFFB7EB6"/>
    <w:rsid w:val="BFFEAB08"/>
    <w:rsid w:val="C2FFBE2F"/>
    <w:rsid w:val="CBBEBAC1"/>
    <w:rsid w:val="CDED7A5A"/>
    <w:rsid w:val="CDFD2304"/>
    <w:rsid w:val="CEFE275B"/>
    <w:rsid w:val="CF0B42D0"/>
    <w:rsid w:val="CF9E952C"/>
    <w:rsid w:val="D2EF087E"/>
    <w:rsid w:val="D3F5DBB9"/>
    <w:rsid w:val="D47DE06C"/>
    <w:rsid w:val="D6FB18F9"/>
    <w:rsid w:val="DA9ADC14"/>
    <w:rsid w:val="DC776690"/>
    <w:rsid w:val="DC7B698E"/>
    <w:rsid w:val="DCBE10CA"/>
    <w:rsid w:val="DDBB17FD"/>
    <w:rsid w:val="DDCB6A4D"/>
    <w:rsid w:val="DEE7D467"/>
    <w:rsid w:val="DEFB073E"/>
    <w:rsid w:val="DEFE8523"/>
    <w:rsid w:val="DF5F95EA"/>
    <w:rsid w:val="DF97CC56"/>
    <w:rsid w:val="DF9E774E"/>
    <w:rsid w:val="E6C74982"/>
    <w:rsid w:val="E732351F"/>
    <w:rsid w:val="E7D3D047"/>
    <w:rsid w:val="E8FF6CA0"/>
    <w:rsid w:val="EB6F6027"/>
    <w:rsid w:val="EBBD09D3"/>
    <w:rsid w:val="ECBFB19E"/>
    <w:rsid w:val="EF3D4EF9"/>
    <w:rsid w:val="EF7778AA"/>
    <w:rsid w:val="EFDB4341"/>
    <w:rsid w:val="EFDB7C9A"/>
    <w:rsid w:val="EFEF30CE"/>
    <w:rsid w:val="EFFD6B90"/>
    <w:rsid w:val="EFFF9813"/>
    <w:rsid w:val="F279611C"/>
    <w:rsid w:val="F3F77884"/>
    <w:rsid w:val="F54BAC81"/>
    <w:rsid w:val="F5FFC647"/>
    <w:rsid w:val="F6BB828E"/>
    <w:rsid w:val="F73FF6F5"/>
    <w:rsid w:val="F74FC207"/>
    <w:rsid w:val="F7BB185C"/>
    <w:rsid w:val="F7EBD5AB"/>
    <w:rsid w:val="F7EF626F"/>
    <w:rsid w:val="F7F6721E"/>
    <w:rsid w:val="F7F675EC"/>
    <w:rsid w:val="F85919AA"/>
    <w:rsid w:val="F8FB073F"/>
    <w:rsid w:val="F9FEFD56"/>
    <w:rsid w:val="F9FF9E6D"/>
    <w:rsid w:val="FB753B34"/>
    <w:rsid w:val="FB8BF0E3"/>
    <w:rsid w:val="FBA5D970"/>
    <w:rsid w:val="FBCBCAF3"/>
    <w:rsid w:val="FBDAEB55"/>
    <w:rsid w:val="FBFCB7DB"/>
    <w:rsid w:val="FBFF8EB0"/>
    <w:rsid w:val="FBFFC487"/>
    <w:rsid w:val="FCFFB466"/>
    <w:rsid w:val="FD3EBDE3"/>
    <w:rsid w:val="FD77AC96"/>
    <w:rsid w:val="FD7B8383"/>
    <w:rsid w:val="FDBF964B"/>
    <w:rsid w:val="FDF746E5"/>
    <w:rsid w:val="FDF9C66B"/>
    <w:rsid w:val="FDFBB3BF"/>
    <w:rsid w:val="FF37C4AF"/>
    <w:rsid w:val="FF3B22F4"/>
    <w:rsid w:val="FF6924AB"/>
    <w:rsid w:val="FF7EBEF1"/>
    <w:rsid w:val="FFAE5527"/>
    <w:rsid w:val="FFD77F58"/>
    <w:rsid w:val="FFDA8D4D"/>
    <w:rsid w:val="FFDF0294"/>
    <w:rsid w:val="FFE76197"/>
    <w:rsid w:val="FFEDE558"/>
    <w:rsid w:val="FFEFCFF3"/>
    <w:rsid w:val="FFF20AD4"/>
    <w:rsid w:val="FFF6E6ED"/>
    <w:rsid w:val="FFF70B16"/>
    <w:rsid w:val="FFFAE4B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宋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autoRedefine/>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9">
    <w:name w:val="Default Paragraph Font"/>
    <w:autoRedefine/>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Date"/>
    <w:basedOn w:val="1"/>
    <w:next w:val="1"/>
    <w:autoRedefine/>
    <w:qFormat/>
    <w:uiPriority w:val="0"/>
    <w:rPr>
      <w:rFonts w:eastAsia="楷体_GB2312" w:cs="Droid Sans"/>
      <w:sz w:val="32"/>
      <w:szCs w:val="20"/>
      <w:lang w:bidi="ar-SA"/>
    </w:rPr>
  </w:style>
  <w:style w:type="paragraph" w:styleId="5">
    <w:name w:val="Balloon Text"/>
    <w:basedOn w:val="1"/>
    <w:link w:val="11"/>
    <w:autoRedefine/>
    <w:qFormat/>
    <w:uiPriority w:val="0"/>
    <w:rPr>
      <w:sz w:val="18"/>
      <w:szCs w:val="18"/>
    </w:rPr>
  </w:style>
  <w:style w:type="paragraph" w:styleId="6">
    <w:name w:val="footer"/>
    <w:basedOn w:val="1"/>
    <w:link w:val="12"/>
    <w:autoRedefine/>
    <w:qFormat/>
    <w:uiPriority w:val="99"/>
    <w:pPr>
      <w:tabs>
        <w:tab w:val="center" w:pos="4153"/>
        <w:tab w:val="right" w:pos="8306"/>
      </w:tabs>
      <w:snapToGrid w:val="0"/>
      <w:jc w:val="left"/>
    </w:pPr>
    <w:rPr>
      <w:sz w:val="18"/>
      <w:szCs w:val="20"/>
    </w:rPr>
  </w:style>
  <w:style w:type="paragraph" w:styleId="7">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character" w:styleId="10">
    <w:name w:val="page number"/>
    <w:autoRedefine/>
    <w:qFormat/>
    <w:uiPriority w:val="0"/>
  </w:style>
  <w:style w:type="character" w:customStyle="1" w:styleId="11">
    <w:name w:val="批注框文本 Char"/>
    <w:link w:val="5"/>
    <w:autoRedefine/>
    <w:qFormat/>
    <w:uiPriority w:val="0"/>
    <w:rPr>
      <w:rFonts w:ascii="Times New Roman" w:hAnsi="Times New Roman"/>
      <w:kern w:val="2"/>
      <w:sz w:val="18"/>
      <w:szCs w:val="18"/>
    </w:rPr>
  </w:style>
  <w:style w:type="character" w:customStyle="1" w:styleId="12">
    <w:name w:val="页脚 Char"/>
    <w:link w:val="6"/>
    <w:autoRedefine/>
    <w:qFormat/>
    <w:uiPriority w:val="99"/>
    <w:rPr>
      <w:rFonts w:ascii="Times New Roman" w:hAnsi="Times New Roman"/>
      <w:kern w:val="2"/>
      <w:sz w:val="18"/>
    </w:rPr>
  </w:style>
  <w:style w:type="character" w:customStyle="1" w:styleId="13">
    <w:name w:val="页眉 Char"/>
    <w:link w:val="7"/>
    <w:autoRedefine/>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4&#24180;&#36164;&#26009;\&#36130;&#21153;&#22788;\2&#26376;\2024&#39044;&#31639;&#20844;&#24320;&#39292;&#29366;&#2227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024&#24180;&#36164;&#26009;\&#36130;&#21153;&#22788;\2&#26376;\2024&#39044;&#31639;&#20844;&#24320;&#39292;&#29366;&#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[2024预算公开饼状图.xlsx]收入预算!$C$2</c:f>
              <c:strCache>
                <c:ptCount val="1"/>
                <c:pt idx="0">
                  <c:v>预算数</c:v>
                </c:pt>
              </c:strCache>
            </c:strRef>
          </c:tx>
          <c:spPr/>
          <c:explosion val="0"/>
          <c:dPt>
            <c:idx val="0"/>
            <c:bubble3D val="0"/>
            <c:spPr>
              <a:solidFill>
                <a:srgbClr val="4F81BD"/>
              </a:solidFill>
              <a:ln>
                <a:solidFill>
                  <a:srgbClr val="FFFFFF"/>
                </a:solidFill>
              </a:ln>
              <a:effectLst/>
            </c:spPr>
          </c:dPt>
          <c:dPt>
            <c:idx val="1"/>
            <c:bubble3D val="0"/>
            <c:spPr>
              <a:solidFill>
                <a:srgbClr val="C0504D"/>
              </a:solidFill>
              <a:ln>
                <a:solidFill>
                  <a:srgbClr val="FFFFFF"/>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rgbClr val="404040">
                            <a:lumMod val="75000"/>
                            <a:lumOff val="25000"/>
                          </a:srgbClr>
                        </a:solidFill>
                        <a:latin typeface="+mn-lt"/>
                        <a:ea typeface="+mn-ea"/>
                        <a:cs typeface="+mn-cs"/>
                      </a:defRPr>
                    </a:pPr>
                    <a:r>
                      <a:t>99</a:t>
                    </a:r>
                    <a:r>
                      <a:rPr lang="en-US" altLang="zh-CN"/>
                      <a:t>.11</a:t>
                    </a:r>
                    <a:r>
                      <a:t>%</a:t>
                    </a:r>
                  </a:p>
                </c:rich>
              </c:tx>
              <c:dLblPos val="bestFit"/>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rgbClr val="404040">
                            <a:lumMod val="75000"/>
                            <a:lumOff val="25000"/>
                          </a:srgbClr>
                        </a:solidFill>
                        <a:latin typeface="+mn-lt"/>
                        <a:ea typeface="+mn-ea"/>
                        <a:cs typeface="+mn-cs"/>
                      </a:defRPr>
                    </a:pPr>
                    <a:r>
                      <a:rPr lang="en-US" altLang="zh-CN"/>
                      <a:t>0.89</a:t>
                    </a:r>
                    <a:r>
                      <a:t>%</a:t>
                    </a:r>
                  </a:p>
                </c:rich>
              </c:tx>
              <c:dLblPos val="bestFit"/>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[2024预算公开饼状图.xlsx]收入预算!$B$3:$B$4</c:f>
              <c:strCache>
                <c:ptCount val="2"/>
                <c:pt idx="0">
                  <c:v>一般公共预算拨款收入</c:v>
                </c:pt>
                <c:pt idx="1">
                  <c:v>上年结转结余</c:v>
                </c:pt>
              </c:strCache>
            </c:strRef>
          </c:cat>
          <c:val>
            <c:numRef>
              <c:f>[2024预算公开饼状图.xlsx]收入预算!$C$3:$C$4</c:f>
              <c:numCache>
                <c:formatCode>#,##0.00</c:formatCode>
                <c:ptCount val="2"/>
                <c:pt idx="0">
                  <c:v>2571.32</c:v>
                </c:pt>
                <c:pt idx="1" c:formatCode="0.00_ ">
                  <c:v>23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manualLayout>
          <c:xMode val="edge"/>
          <c:yMode val="edge"/>
          <c:x val="0.289539473684211"/>
          <c:y val="0.91319444444444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[2024预算公开饼状图.xlsx]支出预算!$C$2</c:f>
              <c:strCache>
                <c:ptCount val="1"/>
                <c:pt idx="0">
                  <c:v>预算数</c:v>
                </c:pt>
              </c:strCache>
            </c:strRef>
          </c:tx>
          <c:spPr/>
          <c:explosion val="0"/>
          <c:dPt>
            <c:idx val="0"/>
            <c:bubble3D val="0"/>
            <c:spPr>
              <a:solidFill>
                <a:srgbClr val="4F81BD"/>
              </a:solidFill>
              <a:ln>
                <a:solidFill>
                  <a:srgbClr val="FFFFFF"/>
                </a:solidFill>
              </a:ln>
              <a:effectLst/>
            </c:spPr>
          </c:dPt>
          <c:dPt>
            <c:idx val="1"/>
            <c:bubble3D val="0"/>
            <c:spPr>
              <a:solidFill>
                <a:srgbClr val="C0504D"/>
              </a:solidFill>
              <a:ln>
                <a:solidFill>
                  <a:srgbClr val="FFFFFF"/>
                </a:solidFill>
              </a:ln>
              <a:effectLst/>
            </c:spPr>
          </c:dPt>
          <c:dLbls>
            <c:dLbl>
              <c:idx val="0"/>
              <c:layout>
                <c:manualLayout>
                  <c:x val="-0.159822983115398"/>
                  <c:y val="-0.0182600511840395"/>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rgbClr val="404040">
                            <a:lumMod val="75000"/>
                            <a:lumOff val="25000"/>
                          </a:srgbClr>
                        </a:solidFill>
                        <a:latin typeface="+mn-lt"/>
                        <a:ea typeface="+mn-ea"/>
                        <a:cs typeface="+mn-cs"/>
                      </a:defRPr>
                    </a:pPr>
                    <a:r>
                      <a:t>92</a:t>
                    </a:r>
                    <a:r>
                      <a:rPr lang="en-US" altLang="zh-CN"/>
                      <a:t>.19</a:t>
                    </a:r>
                    <a:r>
                      <a:t>%</a:t>
                    </a:r>
                  </a:p>
                </c:rich>
              </c:tx>
              <c:dLblPos val="bestFit"/>
              <c:showLegendKey val="0"/>
              <c:showVal val="0"/>
              <c:showCatName val="0"/>
              <c:showSerName val="0"/>
              <c:showPercent val="1"/>
              <c:showBubbleSize val="0"/>
              <c:extLst>
                <c:ext xmlns:c15="http://schemas.microsoft.com/office/drawing/2012/chart" uri="{CE6537A1-D6FC-4f65-9D91-7224C49458BB}">
                  <c15:layout>
                    <c:manualLayout>
                      <c:w val="0.104868421052632"/>
                      <c:h val="0.0798611111111111"/>
                    </c:manualLayout>
                  </c15:layout>
                </c:ext>
              </c:extLst>
            </c:dLbl>
            <c:dLbl>
              <c:idx val="1"/>
              <c:layout>
                <c:manualLayout>
                  <c:x val="0.0110931127548472"/>
                  <c:y val="-0.00509735398497035"/>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rgbClr val="404040">
                            <a:lumMod val="75000"/>
                            <a:lumOff val="25000"/>
                          </a:srgbClr>
                        </a:solidFill>
                        <a:latin typeface="+mn-lt"/>
                        <a:ea typeface="+mn-ea"/>
                        <a:cs typeface="+mn-cs"/>
                      </a:defRPr>
                    </a:pPr>
                    <a:r>
                      <a:rPr lang="en-US" altLang="zh-CN"/>
                      <a:t>7.81</a:t>
                    </a:r>
                    <a:r>
                      <a:t>%</a:t>
                    </a:r>
                  </a:p>
                </c:rich>
              </c:tx>
              <c:dLblPos val="bestFit"/>
              <c:showLegendKey val="0"/>
              <c:showVal val="0"/>
              <c:showCatName val="0"/>
              <c:showSerName val="0"/>
              <c:showPercent val="1"/>
              <c:showBubbleSize val="0"/>
              <c:extLst>
                <c:ext xmlns:c15="http://schemas.microsoft.com/office/drawing/2012/chart" uri="{CE6537A1-D6FC-4f65-9D91-7224C49458BB}">
                  <c15:layout>
                    <c:manualLayout>
                      <c:w val="0.0928947368421053"/>
                      <c:h val="0.062962962962963"/>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0"/>
            <c:extLst>
              <c:ext xmlns:c15="http://schemas.microsoft.com/office/drawing/2012/chart" uri="{CE6537A1-D6FC-4f65-9D91-7224C49458BB}">
                <c15:layout/>
                <c15:showLeaderLines val="0"/>
                <c15:leaderLines>
                  <c:spPr>
                    <a:ln w="9525" cap="flat" cmpd="sng" algn="ctr">
                      <a:solidFill>
                        <a:srgbClr val="A6A6A6">
                          <a:lumMod val="35000"/>
                          <a:lumOff val="65000"/>
                        </a:srgbClr>
                      </a:solidFill>
                      <a:round/>
                    </a:ln>
                    <a:effectLst/>
                  </c:spPr>
                </c15:leaderLines>
              </c:ext>
            </c:extLst>
          </c:dLbls>
          <c:cat>
            <c:strRef>
              <c:f>[2024预算公开饼状图.xlsx]支出预算!$B$3:$B$4</c:f>
              <c:strCache>
                <c:ptCount val="2"/>
                <c:pt idx="0">
                  <c:v>基本支出</c:v>
                </c:pt>
                <c:pt idx="1">
                  <c:v>项目支出</c:v>
                </c:pt>
              </c:strCache>
            </c:strRef>
          </c:cat>
          <c:val>
            <c:numRef>
              <c:f>[2024预算公开饼状图.xlsx]支出预算!$C$3:$C$4</c:f>
              <c:numCache>
                <c:formatCode>#,##0.00</c:formatCode>
                <c:ptCount val="2"/>
                <c:pt idx="0">
                  <c:v>2391.83</c:v>
                </c:pt>
                <c:pt idx="1" c:formatCode="0.00_ ">
                  <c:v>202.49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8</Pages>
  <Words>2292</Words>
  <Characters>13069</Characters>
  <Lines>108</Lines>
  <Paragraphs>30</Paragraphs>
  <TotalTime>135</TotalTime>
  <ScaleCrop>false</ScaleCrop>
  <LinksUpToDate>false</LinksUpToDate>
  <CharactersWithSpaces>15331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2022-02-07T01:48:00Z</dcterms:created>
  <dc:creator>马荣丽</dc:creator>
  <cp:lastModifiedBy>hehe</cp:lastModifiedBy>
  <cp:lastPrinted>2024-02-21T09:18:00Z</cp:lastPrinted>
  <dcterms:modified xsi:type="dcterms:W3CDTF">2024-03-07T08:03:42Z</dcterms:modified>
  <dc:title>处领导：</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4BFEEA1C94EA4DC6BC842A7C1ED01022_13</vt:lpwstr>
  </property>
</Properties>
</file>