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北京市科学技术委员会、中关村科技园区</w:t>
      </w:r>
    </w:p>
    <w:p>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管理委员会综合事务中心</w:t>
      </w:r>
    </w:p>
    <w:p>
      <w:pPr>
        <w:spacing w:line="560" w:lineRule="exact"/>
        <w:jc w:val="center"/>
        <w:rPr>
          <w:rFonts w:hint="eastAsia" w:ascii="方正小标宋_GBK" w:hAnsi="方正小标宋_GBK" w:eastAsia="方正小标宋_GBK" w:cs="方正小标宋_GBK"/>
          <w:color w:val="000000"/>
          <w:sz w:val="44"/>
          <w:szCs w:val="44"/>
        </w:rPr>
      </w:pPr>
      <w:r>
        <w:rPr>
          <w:rFonts w:hint="eastAsia" w:ascii="方正小标宋简体" w:eastAsia="方正小标宋简体"/>
          <w:color w:val="000000"/>
          <w:sz w:val="44"/>
          <w:szCs w:val="44"/>
        </w:rPr>
        <w:t>2024年度单位预算信息公开</w:t>
      </w: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_GBK" w:hAnsi="方正小标宋_GBK" w:eastAsia="方正小标宋_GBK" w:cs="方正小标宋_GBK"/>
          <w:color w:val="000000"/>
          <w:sz w:val="32"/>
          <w:szCs w:val="32"/>
          <w:u w:val="none"/>
        </w:rPr>
      </w:pPr>
      <w:r>
        <w:rPr>
          <w:rFonts w:hint="eastAsia" w:ascii="方正小标宋_GBK" w:hAnsi="方正小标宋_GBK" w:eastAsia="方正小标宋_GBK" w:cs="方正小标宋_GBK"/>
          <w:color w:val="000000"/>
          <w:sz w:val="32"/>
          <w:szCs w:val="32"/>
          <w:u w:val="none"/>
        </w:rPr>
        <w:t>目   录</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七、一般公共预算财政拨款支出表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八、</w:t>
      </w:r>
      <w:r>
        <w:rPr>
          <w:rFonts w:hint="eastAsia" w:ascii="仿宋_GB2312" w:hAnsi="仿宋_GB2312" w:eastAsia="仿宋_GB2312" w:cs="仿宋_GB2312"/>
          <w:color w:val="000000"/>
          <w:spacing w:val="-16"/>
          <w:kern w:val="0"/>
          <w:sz w:val="32"/>
          <w:szCs w:val="32"/>
          <w:u w:val="none"/>
          <w:lang w:val="zh-CN"/>
        </w:rPr>
        <w:t>一般公共预算财政拨款基本支出表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w:t>
      </w:r>
      <w:r>
        <w:rPr>
          <w:rFonts w:hint="eastAsia" w:ascii="仿宋_GB2312" w:hAnsi="仿宋_GB2312" w:eastAsia="仿宋_GB2312" w:cs="仿宋_GB2312"/>
          <w:color w:val="000000"/>
          <w:spacing w:val="-16"/>
          <w:kern w:val="0"/>
          <w:sz w:val="32"/>
          <w:szCs w:val="32"/>
          <w:u w:val="none"/>
          <w:lang w:val="zh-CN"/>
        </w:rPr>
        <w:t>一、财政拨款</w:t>
      </w:r>
      <w:r>
        <w:rPr>
          <w:rFonts w:hint="eastAsia" w:ascii="仿宋_GB2312" w:hAnsi="仿宋_GB2312" w:eastAsia="仿宋_GB2312" w:cs="仿宋_GB2312"/>
          <w:color w:val="000000"/>
          <w:kern w:val="0"/>
          <w:sz w:val="32"/>
          <w:szCs w:val="32"/>
          <w:u w:val="none"/>
          <w:lang w:val="zh-CN"/>
        </w:rPr>
        <w:t>“三公”经费支出表</w:t>
      </w:r>
    </w:p>
    <w:p>
      <w:pPr>
        <w:keepNext w:val="0"/>
        <w:keepLines w:val="0"/>
        <w:autoSpaceDE w:val="0"/>
        <w:autoSpaceDN w:val="0"/>
        <w:adjustRightInd w:val="0"/>
        <w:spacing w:line="560" w:lineRule="exact"/>
        <w:ind w:firstLine="640" w:firstLineChars="200"/>
        <w:jc w:val="left"/>
        <w:rPr>
          <w:rFonts w:hint="eastAsia"/>
          <w:lang w:val="zh-CN"/>
        </w:rPr>
      </w:pPr>
      <w:r>
        <w:rPr>
          <w:rFonts w:hint="eastAsia" w:ascii="仿宋_GB2312" w:hAnsi="仿宋_GB2312" w:eastAsia="仿宋_GB2312" w:cs="仿宋_GB2312"/>
          <w:color w:val="000000"/>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keepNext w:val="0"/>
        <w:keepLines w:val="0"/>
        <w:pageBreakBefore w:val="0"/>
        <w:widowControl w:val="0"/>
        <w:kinsoku/>
        <w:wordWrap/>
        <w:overflowPunct/>
        <w:topLinePunct w:val="0"/>
        <w:autoSpaceDE w:val="0"/>
        <w:autoSpaceDN w:val="0"/>
        <w:bidi w:val="0"/>
        <w:adjustRightInd w:val="0"/>
        <w:snapToGrid/>
        <w:spacing w:line="540" w:lineRule="exact"/>
        <w:ind w:left="0" w:leftChars="0" w:firstLine="640" w:firstLineChars="200"/>
        <w:jc w:val="left"/>
        <w:textAlignment w:val="auto"/>
        <w:rPr>
          <w:rFonts w:hint="eastAsia" w:ascii="仿宋_GB2312" w:hAnsi="仿宋_GB2312" w:eastAsia="仿宋_GB2312" w:cs="仿宋_GB2312"/>
          <w:color w:val="000000"/>
          <w:kern w:val="0"/>
          <w:sz w:val="32"/>
          <w:szCs w:val="32"/>
          <w:u w:val="none"/>
          <w:lang w:val="zh-CN"/>
        </w:rPr>
      </w:pPr>
    </w:p>
    <w:p>
      <w:pPr>
        <w:spacing w:line="560" w:lineRule="exact"/>
        <w:jc w:val="center"/>
        <w:rPr>
          <w:rFonts w:hint="eastAsia" w:ascii="方正小标宋_GBK" w:hAnsi="方正小标宋_GBK" w:eastAsia="方正小标宋_GBK" w:cs="方正小标宋_GBK"/>
          <w:color w:val="000000"/>
          <w:sz w:val="32"/>
          <w:szCs w:val="32"/>
          <w:u w:val="none"/>
        </w:rPr>
      </w:pPr>
      <w:r>
        <w:rPr>
          <w:rFonts w:hint="eastAsia" w:ascii="方正小标宋_GBK" w:hAnsi="方正小标宋_GBK" w:eastAsia="方正小标宋_GBK" w:cs="方正小标宋_GBK"/>
          <w:color w:val="000000"/>
          <w:sz w:val="36"/>
          <w:szCs w:val="36"/>
          <w:u w:val="none"/>
        </w:rPr>
        <w:t xml:space="preserve">第一部分  </w:t>
      </w:r>
      <w:r>
        <w:rPr>
          <w:rFonts w:hint="eastAsia" w:ascii="方正小标宋_GBK" w:hAnsi="方正小标宋_GBK" w:eastAsia="方正小标宋_GBK" w:cs="方正小标宋_GBK"/>
          <w:color w:val="000000"/>
          <w:sz w:val="36"/>
          <w:szCs w:val="36"/>
          <w:u w:val="none"/>
          <w:lang w:eastAsia="zh-CN"/>
        </w:rPr>
        <w:t>2024年度</w:t>
      </w:r>
      <w:r>
        <w:rPr>
          <w:rFonts w:hint="eastAsia" w:ascii="方正小标宋_GBK" w:hAnsi="方正小标宋_GBK" w:eastAsia="方正小标宋_GBK" w:cs="方正小标宋_GBK"/>
          <w:color w:val="000000"/>
          <w:sz w:val="36"/>
          <w:szCs w:val="36"/>
          <w:u w:val="none"/>
        </w:rPr>
        <w:t>单位预算情况说明</w:t>
      </w:r>
    </w:p>
    <w:p>
      <w:pPr>
        <w:spacing w:line="360" w:lineRule="auto"/>
        <w:rPr>
          <w:rFonts w:hint="eastAsia" w:ascii="仿宋_GB2312" w:eastAsia="仿宋_GB2312"/>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w:t>
      </w:r>
      <w:r>
        <w:rPr>
          <w:rFonts w:hint="eastAsia" w:ascii="仿宋_GB2312" w:eastAsia="仿宋_GB2312"/>
          <w:color w:val="auto"/>
          <w:sz w:val="32"/>
          <w:szCs w:val="32"/>
          <w:u w:val="none"/>
          <w:lang w:eastAsia="zh-CN"/>
        </w:rPr>
        <w:t>〔</w:t>
      </w:r>
      <w:r>
        <w:rPr>
          <w:rFonts w:hint="eastAsia" w:ascii="仿宋_GB2312" w:eastAsia="仿宋_GB2312"/>
          <w:sz w:val="32"/>
          <w:szCs w:val="32"/>
        </w:rPr>
        <w:t>2021</w:t>
      </w:r>
      <w:r>
        <w:rPr>
          <w:rFonts w:hint="eastAsia" w:ascii="仿宋_GB2312" w:eastAsia="仿宋_GB2312"/>
          <w:color w:val="auto"/>
          <w:sz w:val="32"/>
          <w:szCs w:val="32"/>
          <w:u w:val="none"/>
          <w:lang w:eastAsia="zh-CN"/>
        </w:rPr>
        <w:t>〕</w:t>
      </w:r>
      <w:r>
        <w:rPr>
          <w:rFonts w:hint="eastAsia" w:ascii="仿宋_GB2312" w:eastAsia="仿宋_GB2312"/>
          <w:sz w:val="32"/>
          <w:szCs w:val="32"/>
        </w:rPr>
        <w:t>66号)，设立北京市科学技术委员会、中关村科技园区管理委员会综合事务中心，主要职责：承担机关综合服务、信息公开、电子政务、安全应急、离退休干部服务等事务性工作。</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（二）机构设置情况</w:t>
      </w:r>
    </w:p>
    <w:p>
      <w:pPr>
        <w:spacing w:line="560" w:lineRule="exact"/>
        <w:ind w:firstLine="640" w:firstLineChars="200"/>
        <w:rPr>
          <w:rFonts w:hint="eastAsia" w:ascii="楷体_GB2312" w:eastAsia="楷体_GB2312"/>
          <w:color w:val="000000"/>
          <w:sz w:val="32"/>
          <w:szCs w:val="32"/>
          <w:u w:val="none"/>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sz w:val="32"/>
          <w:szCs w:val="32"/>
        </w:rPr>
        <w:t>下设8个部门，分别为：综合管理部、政务服务部、电子政务部、信息服务部、安全运维部、档案事务部、政务大厅工作部和老干部服务部。</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000000"/>
          <w:sz w:val="32"/>
          <w:szCs w:val="32"/>
        </w:rPr>
        <w:t>事业编制44人，实有人数3</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人；</w:t>
      </w:r>
      <w:r>
        <w:rPr>
          <w:rFonts w:hint="eastAsia" w:ascii="仿宋_GB2312" w:eastAsia="仿宋_GB2312"/>
          <w:sz w:val="32"/>
          <w:szCs w:val="32"/>
        </w:rPr>
        <w:t>离退休人员</w:t>
      </w:r>
      <w:r>
        <w:rPr>
          <w:rFonts w:hint="eastAsia" w:ascii="仿宋_GB2312" w:eastAsia="仿宋_GB2312"/>
          <w:color w:val="000000"/>
          <w:sz w:val="32"/>
          <w:szCs w:val="32"/>
        </w:rPr>
        <w:t>20</w:t>
      </w:r>
      <w:r>
        <w:rPr>
          <w:rFonts w:ascii="仿宋_GB2312" w:eastAsia="仿宋_GB2312"/>
          <w:sz w:val="32"/>
          <w:szCs w:val="32"/>
        </w:rPr>
        <w:t>人，其中：离休</w:t>
      </w:r>
      <w:r>
        <w:rPr>
          <w:rFonts w:hint="eastAsia" w:ascii="仿宋_GB2312" w:eastAsia="仿宋_GB2312"/>
          <w:sz w:val="32"/>
          <w:szCs w:val="32"/>
        </w:rPr>
        <w:t>人员</w:t>
      </w:r>
      <w:r>
        <w:rPr>
          <w:rFonts w:hint="eastAsia"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hint="eastAsia" w:ascii="仿宋_GB2312" w:eastAsia="仿宋_GB2312"/>
          <w:sz w:val="32"/>
          <w:szCs w:val="32"/>
          <w:lang w:val="en-US" w:eastAsia="zh-CN"/>
        </w:rPr>
        <w:t>20</w:t>
      </w:r>
      <w:r>
        <w:rPr>
          <w:rFonts w:ascii="仿宋_GB2312" w:eastAsia="仿宋_GB2312"/>
          <w:sz w:val="32"/>
          <w:szCs w:val="32"/>
        </w:rPr>
        <w:t>人。</w:t>
      </w:r>
      <w:r>
        <w:rPr>
          <w:rFonts w:hint="eastAsia" w:ascii="仿宋_GB2312" w:eastAsia="仿宋_GB2312"/>
          <w:sz w:val="32"/>
          <w:szCs w:val="32"/>
          <w:highlight w:val="none"/>
        </w:rPr>
        <w:t>聘用人员（其他聘用人员--临时工）</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2024年度收入预算6,811.59</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rPr>
        <w:t>6,043.22</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68.37</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2.71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w:t>
      </w:r>
      <w:bookmarkStart w:id="0" w:name="_GoBack"/>
      <w:bookmarkEnd w:id="0"/>
      <w:r>
        <w:rPr>
          <w:rFonts w:hint="eastAsia" w:ascii="仿宋_GB2312" w:eastAsia="仿宋_GB2312"/>
          <w:color w:val="auto"/>
          <w:sz w:val="32"/>
          <w:szCs w:val="32"/>
          <w:u w:val="none"/>
          <w:lang w:eastAsia="zh-CN"/>
        </w:rPr>
        <w:t>原因为：一是人员社保、公积金等缴费基数上调，基本支出增加；二是按照本市信息化要求，开展信息系统整合工作，新增信息系统升级改造项目。</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本年财政拨款收入6</w:t>
      </w:r>
      <w:r>
        <w:rPr>
          <w:rFonts w:hint="eastAsia" w:ascii="楷体_GB2312" w:eastAsia="楷体_GB2312"/>
          <w:color w:val="auto"/>
          <w:sz w:val="32"/>
          <w:szCs w:val="32"/>
          <w:u w:val="none"/>
          <w:lang w:val="en-US" w:eastAsia="zh-CN"/>
        </w:rPr>
        <w:t>,788.35</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楷体_GB2312" w:eastAsia="楷体_GB2312"/>
          <w:color w:val="auto"/>
          <w:sz w:val="32"/>
          <w:szCs w:val="32"/>
          <w:u w:val="none"/>
          <w:lang w:eastAsia="zh-CN"/>
        </w:rPr>
        <w:t>6</w:t>
      </w:r>
      <w:r>
        <w:rPr>
          <w:rFonts w:hint="eastAsia" w:ascii="楷体_GB2312" w:eastAsia="楷体_GB2312"/>
          <w:color w:val="auto"/>
          <w:sz w:val="32"/>
          <w:szCs w:val="32"/>
          <w:u w:val="none"/>
          <w:lang w:val="en-US" w:eastAsia="zh-CN"/>
        </w:rPr>
        <w:t>,788.35</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收入0</w:t>
      </w:r>
      <w:r>
        <w:rPr>
          <w:rFonts w:hint="eastAsia" w:ascii="仿宋_GB2312" w:eastAsia="仿宋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2</w:t>
      </w:r>
      <w:r>
        <w:rPr>
          <w:rFonts w:hint="eastAsia" w:ascii="楷体_GB2312" w:eastAsia="楷体_GB2312" w:cs="Droid Sans"/>
          <w:color w:val="auto"/>
          <w:sz w:val="32"/>
          <w:szCs w:val="32"/>
          <w:u w:val="none"/>
          <w:lang w:val="en-US" w:eastAsia="zh-CN"/>
        </w:rPr>
        <w:t>3.24</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楷体_GB2312" w:eastAsia="楷体_GB2312" w:cs="Droid Sans"/>
          <w:color w:val="auto"/>
          <w:sz w:val="32"/>
          <w:szCs w:val="32"/>
          <w:u w:val="none"/>
          <w:lang w:eastAsia="zh-CN"/>
        </w:rPr>
        <w:t>2</w:t>
      </w:r>
      <w:r>
        <w:rPr>
          <w:rFonts w:hint="eastAsia" w:ascii="楷体_GB2312" w:eastAsia="楷体_GB2312" w:cs="Droid Sans"/>
          <w:color w:val="auto"/>
          <w:sz w:val="32"/>
          <w:szCs w:val="32"/>
          <w:u w:val="none"/>
          <w:lang w:val="en-US" w:eastAsia="zh-CN"/>
        </w:rPr>
        <w:t>3.24</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000000"/>
          <w:sz w:val="32"/>
          <w:szCs w:val="32"/>
          <w:u w:val="none"/>
          <w:lang w:eastAsia="zh-CN"/>
        </w:rPr>
      </w:pPr>
    </w:p>
    <w:p>
      <w:pPr>
        <w:spacing w:line="560" w:lineRule="exact"/>
        <w:ind w:firstLine="640"/>
        <w:jc w:val="center"/>
        <w:rPr>
          <w:rFonts w:hint="eastAsia" w:eastAsia="宋体"/>
          <w:u w:val="none"/>
          <w:lang w:eastAsia="zh-CN"/>
        </w:rPr>
      </w:pPr>
    </w:p>
    <w:p>
      <w:pPr>
        <w:pStyle w:val="2"/>
        <w:ind w:firstLine="0"/>
        <w:jc w:val="center"/>
        <w:rPr>
          <w:rFonts w:hint="eastAsia" w:eastAsia="宋体"/>
          <w:u w:val="none"/>
          <w:lang w:eastAsia="zh-CN"/>
        </w:rPr>
      </w:pPr>
      <w:r>
        <w:rPr>
          <w:rFonts w:hint="eastAsia" w:eastAsia="宋体"/>
          <w:u w:val="none"/>
          <w:lang w:eastAsia="zh-CN"/>
        </w:rPr>
        <w:drawing>
          <wp:inline distT="0" distB="0" distL="114300" distR="114300">
            <wp:extent cx="4721860" cy="2682875"/>
            <wp:effectExtent l="0" t="0" r="2540" b="9525"/>
            <wp:docPr id="9" name="图片 9" descr="1709801269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9801269933"/>
                    <pic:cNvPicPr>
                      <a:picLocks noChangeAspect="1"/>
                    </pic:cNvPicPr>
                  </pic:nvPicPr>
                  <pic:blipFill>
                    <a:blip r:embed="rId5"/>
                    <a:srcRect r="2070" b="4815"/>
                    <a:stretch>
                      <a:fillRect/>
                    </a:stretch>
                  </pic:blipFill>
                  <pic:spPr>
                    <a:xfrm>
                      <a:off x="0" y="0"/>
                      <a:ext cx="4721860" cy="2682875"/>
                    </a:xfrm>
                    <a:prstGeom prst="rect">
                      <a:avLst/>
                    </a:prstGeom>
                  </pic:spPr>
                </pic:pic>
              </a:graphicData>
            </a:graphic>
          </wp:inline>
        </w:drawing>
      </w:r>
    </w:p>
    <w:p>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s="Droid Sans"/>
          <w:color w:val="auto"/>
          <w:sz w:val="32"/>
          <w:szCs w:val="32"/>
          <w:u w:val="none"/>
          <w:lang w:val="en-US" w:eastAsia="zh-CN"/>
        </w:rPr>
        <w:t>6,811.59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rPr>
        <w:t>6,043.22</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7</w:t>
      </w:r>
      <w:r>
        <w:rPr>
          <w:rFonts w:hint="eastAsia" w:ascii="仿宋_GB2312" w:eastAsia="仿宋_GB2312"/>
          <w:color w:val="auto"/>
          <w:sz w:val="32"/>
          <w:szCs w:val="32"/>
          <w:u w:val="none"/>
          <w:lang w:val="en-US" w:eastAsia="zh-CN"/>
        </w:rPr>
        <w:t>68.37</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1.28</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主要原因为：一是人员社保、公积金等缴费基数上调，基本支出增加；二是按照本市信息化要求，开展信息系统整合工作，新增信息系统升级改造项目。</w:t>
      </w:r>
    </w:p>
    <w:p>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支出预算2,087.4</w:t>
      </w:r>
      <w:r>
        <w:rPr>
          <w:rFonts w:hint="eastAsia" w:ascii="仿宋_GB2312" w:eastAsia="仿宋_GB2312"/>
          <w:color w:val="auto"/>
          <w:sz w:val="32"/>
          <w:szCs w:val="32"/>
          <w:highlight w:val="none"/>
          <w:u w:val="none"/>
          <w:lang w:val="en-US" w:eastAsia="zh-CN"/>
        </w:rPr>
        <w:t>1</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0.64</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rPr>
        <w:t>1,859.44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27.97</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2.26</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项目支出预算4,724.1</w:t>
      </w:r>
      <w:r>
        <w:rPr>
          <w:rFonts w:hint="eastAsia" w:ascii="仿宋_GB2312" w:eastAsia="仿宋_GB2312"/>
          <w:color w:val="auto"/>
          <w:sz w:val="32"/>
          <w:szCs w:val="32"/>
          <w:u w:val="none"/>
          <w:lang w:val="en-US" w:eastAsia="zh-CN"/>
        </w:rPr>
        <w:t>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sz w:val="32"/>
          <w:szCs w:val="32"/>
        </w:rPr>
        <w:t>4,183.78</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40.40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2.96</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0"/>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363855</wp:posOffset>
            </wp:positionH>
            <wp:positionV relativeFrom="paragraph">
              <wp:posOffset>172085</wp:posOffset>
            </wp:positionV>
            <wp:extent cx="5033645" cy="2918460"/>
            <wp:effectExtent l="0" t="0" r="0" b="2540"/>
            <wp:wrapTight wrapText="bothSides">
              <wp:wrapPolygon>
                <wp:start x="0" y="0"/>
                <wp:lineTo x="0" y="21525"/>
                <wp:lineTo x="21526" y="21525"/>
                <wp:lineTo x="21526" y="0"/>
                <wp:lineTo x="0" y="0"/>
              </wp:wrapPolygon>
            </wp:wrapTight>
            <wp:docPr id="12" name="图片 12" descr="170980145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9801453953"/>
                    <pic:cNvPicPr>
                      <a:picLocks noChangeAspect="1"/>
                    </pic:cNvPicPr>
                  </pic:nvPicPr>
                  <pic:blipFill>
                    <a:blip r:embed="rId6"/>
                    <a:stretch>
                      <a:fillRect/>
                    </a:stretch>
                  </pic:blipFill>
                  <pic:spPr>
                    <a:xfrm>
                      <a:off x="0" y="0"/>
                      <a:ext cx="5033645" cy="2918460"/>
                    </a:xfrm>
                    <a:prstGeom prst="rect">
                      <a:avLst/>
                    </a:prstGeom>
                  </pic:spPr>
                </pic:pic>
              </a:graphicData>
            </a:graphic>
          </wp:anchor>
        </w:drawing>
      </w:r>
    </w:p>
    <w:p>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1"/>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w:t>
      </w:r>
      <w:r>
        <w:rPr>
          <w:rFonts w:hint="eastAsia" w:ascii="仿宋_GB2312" w:eastAsia="仿宋_GB2312" w:cs="Droid Sans"/>
          <w:color w:val="auto"/>
          <w:sz w:val="32"/>
          <w:szCs w:val="32"/>
          <w:u w:val="none"/>
          <w:lang w:val="en-US" w:eastAsia="zh-CN"/>
        </w:rPr>
        <w:t>.00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北京市科学技术委员会、中关村科技园区管理委员会综合事务中心</w:t>
      </w:r>
      <w:r>
        <w:rPr>
          <w:rFonts w:hint="eastAsia" w:ascii="仿宋_GB2312" w:eastAsia="仿宋_GB2312"/>
          <w:color w:val="auto"/>
          <w:sz w:val="32"/>
          <w:szCs w:val="32"/>
          <w:u w:val="none"/>
        </w:rPr>
        <w:t>因公出国（境）费用、公务接待费、公务用车购置和运行维护费开支单位包括1个事业单位，无所属单位。</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sz w:val="32"/>
          <w:szCs w:val="32"/>
        </w:rPr>
        <w:t>7.01</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w:t>
      </w:r>
      <w:r>
        <w:rPr>
          <w:rFonts w:hint="eastAsia" w:ascii="仿宋_GB2312" w:eastAsia="仿宋_GB2312"/>
          <w:color w:val="auto"/>
          <w:sz w:val="32"/>
          <w:szCs w:val="32"/>
          <w:u w:val="none"/>
        </w:rPr>
        <w:t>财政拨款“三公”经费</w:t>
      </w:r>
      <w:r>
        <w:rPr>
          <w:rFonts w:hint="eastAsia" w:ascii="仿宋_GB2312" w:eastAsia="仿宋_GB2312"/>
          <w:color w:val="auto"/>
          <w:sz w:val="32"/>
          <w:szCs w:val="32"/>
          <w:u w:val="none"/>
          <w:lang w:eastAsia="zh-CN"/>
        </w:rPr>
        <w:t>预算数持平</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.76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.25</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.73</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.27</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.98</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2024年预算数与2023年年初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,205.32</w:t>
      </w:r>
      <w:r>
        <w:rPr>
          <w:rFonts w:hint="eastAsia" w:ascii="仿宋_GB2312" w:eastAsia="仿宋_GB2312"/>
          <w:color w:val="auto"/>
          <w:sz w:val="32"/>
          <w:szCs w:val="32"/>
          <w:u w:val="none"/>
        </w:rPr>
        <w:t>万元，其中：政府采购货物预</w:t>
      </w:r>
      <w:r>
        <w:rPr>
          <w:rFonts w:hint="eastAsia" w:ascii="仿宋_GB2312" w:eastAsia="仿宋_GB2312"/>
          <w:color w:val="auto"/>
          <w:sz w:val="32"/>
          <w:szCs w:val="32"/>
          <w:highlight w:val="none"/>
          <w:u w:val="none"/>
        </w:rPr>
        <w:t>算</w:t>
      </w:r>
      <w:r>
        <w:rPr>
          <w:rFonts w:hint="eastAsia" w:ascii="仿宋_GB2312" w:eastAsia="仿宋_GB2312"/>
          <w:color w:val="auto"/>
          <w:sz w:val="32"/>
          <w:szCs w:val="32"/>
          <w:highlight w:val="none"/>
          <w:u w:val="none"/>
          <w:lang w:val="en-US" w:eastAsia="zh-CN"/>
        </w:rPr>
        <w:t>0.00</w:t>
      </w:r>
      <w:r>
        <w:rPr>
          <w:rFonts w:hint="eastAsia" w:ascii="仿宋_GB2312" w:eastAsia="仿宋_GB2312"/>
          <w:color w:val="auto"/>
          <w:sz w:val="32"/>
          <w:szCs w:val="32"/>
          <w:highlight w:val="none"/>
          <w:u w:val="none"/>
        </w:rPr>
        <w:t>万元，政府采购工程预算</w:t>
      </w:r>
      <w:r>
        <w:rPr>
          <w:rFonts w:hint="eastAsia" w:ascii="仿宋_GB2312" w:eastAsia="仿宋_GB2312"/>
          <w:color w:val="auto"/>
          <w:sz w:val="32"/>
          <w:szCs w:val="32"/>
          <w:highlight w:val="none"/>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auto"/>
          <w:sz w:val="32"/>
          <w:szCs w:val="32"/>
          <w:highlight w:val="none"/>
          <w:u w:val="none"/>
        </w:rPr>
        <w:t>万元，政府采购服务预算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,205.32</w:t>
      </w:r>
      <w:r>
        <w:rPr>
          <w:rFonts w:hint="eastAsia" w:ascii="仿宋_GB2312" w:eastAsia="仿宋_GB2312"/>
          <w:color w:val="auto"/>
          <w:sz w:val="32"/>
          <w:szCs w:val="32"/>
          <w:highlight w:val="none"/>
          <w:u w:val="none"/>
        </w:rPr>
        <w:t>万元</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本单位不属于政府购买服务购买主体。</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sz w:val="32"/>
          <w:szCs w:val="32"/>
        </w:rPr>
        <w:t>本单位不在机关运行经费统计范围之内</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eastAsia="仿宋_GB2312"/>
          <w:sz w:val="32"/>
          <w:szCs w:val="32"/>
          <w:lang w:eastAsia="zh-CN"/>
        </w:rPr>
        <w:t>北京市科学技术委员会、中关村科技园区管理委员会综合事务中心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8</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,700.94</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sz w:val="32"/>
          <w:szCs w:val="32"/>
        </w:rPr>
        <w:t>本单位202</w:t>
      </w:r>
      <w:r>
        <w:rPr>
          <w:rFonts w:hint="eastAsia" w:ascii="仿宋_GB2312" w:eastAsia="仿宋_GB2312"/>
          <w:sz w:val="32"/>
          <w:szCs w:val="32"/>
          <w:lang w:val="en-US" w:eastAsia="zh-CN"/>
        </w:rPr>
        <w:t>4</w:t>
      </w:r>
      <w:r>
        <w:rPr>
          <w:rFonts w:hint="eastAsia" w:ascii="仿宋_GB2312" w:eastAsia="仿宋_GB2312"/>
          <w:sz w:val="32"/>
          <w:szCs w:val="32"/>
        </w:rPr>
        <w:t>年无重点行政事业性收费</w:t>
      </w:r>
      <w:r>
        <w:rPr>
          <w:rFonts w:hint="eastAsia" w:ascii="仿宋_GB2312" w:eastAsia="仿宋_GB2312"/>
          <w:color w:val="000000"/>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lang w:eastAsia="zh-CN"/>
        </w:rPr>
        <w:t>北京市科学技术委员会、中关村科技园区管理委员会综合事务中心</w:t>
      </w:r>
      <w:r>
        <w:rPr>
          <w:rFonts w:hint="eastAsia" w:ascii="仿宋_GB2312" w:eastAsia="仿宋_GB2312"/>
          <w:color w:val="000000"/>
          <w:sz w:val="32"/>
          <w:szCs w:val="32"/>
        </w:rPr>
        <w:t>共有车辆3台，共计44.09万元；</w:t>
      </w:r>
      <w:r>
        <w:rPr>
          <w:rFonts w:hint="eastAsia" w:ascii="仿宋_GB2312" w:eastAsia="仿宋_GB2312"/>
          <w:color w:val="000000"/>
          <w:sz w:val="32"/>
          <w:szCs w:val="32"/>
          <w:u w:val="none"/>
        </w:rPr>
        <w:t>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2024年预算安排中，购置单位价值50万元以上的无形资产2套，共计260</w:t>
      </w:r>
      <w:r>
        <w:rPr>
          <w:rFonts w:hint="eastAsia" w:ascii="仿宋_GB2312" w:eastAsia="仿宋_GB2312" w:cs="Droid Sans"/>
          <w:color w:val="auto"/>
          <w:sz w:val="32"/>
          <w:szCs w:val="32"/>
          <w:u w:val="none"/>
          <w:lang w:val="en-US" w:eastAsia="zh-CN"/>
        </w:rPr>
        <w:t>.00</w:t>
      </w:r>
      <w:r>
        <w:rPr>
          <w:rFonts w:hint="eastAsia" w:ascii="仿宋_GB2312" w:eastAsia="仿宋_GB2312"/>
          <w:color w:val="000000"/>
          <w:sz w:val="32"/>
          <w:szCs w:val="32"/>
          <w:u w:val="none"/>
          <w:lang w:val="en-US" w:eastAsia="zh-CN"/>
        </w:rPr>
        <w:t>万元。</w:t>
      </w:r>
    </w:p>
    <w:p>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_GBK" w:hAnsi="方正小标宋_GBK" w:eastAsia="方正小标宋_GBK" w:cs="方正小标宋_GBK"/>
          <w:color w:val="000000"/>
          <w:sz w:val="36"/>
          <w:szCs w:val="36"/>
          <w:u w:val="none"/>
        </w:rPr>
      </w:pPr>
    </w:p>
    <w:p>
      <w:pPr>
        <w:spacing w:line="560" w:lineRule="exact"/>
        <w:jc w:val="center"/>
        <w:rPr>
          <w:rFonts w:hint="eastAsia" w:ascii="方正小标宋_GBK" w:hAnsi="方正小标宋_GBK" w:eastAsia="方正小标宋_GBK" w:cs="方正小标宋_GBK"/>
          <w:color w:val="000000"/>
          <w:sz w:val="36"/>
          <w:szCs w:val="36"/>
          <w:u w:val="none"/>
        </w:rPr>
      </w:pPr>
      <w:r>
        <w:rPr>
          <w:rFonts w:hint="eastAsia" w:ascii="方正小标宋_GBK" w:hAnsi="方正小标宋_GBK" w:eastAsia="方正小标宋_GBK" w:cs="方正小标宋_GBK"/>
          <w:color w:val="000000"/>
          <w:sz w:val="36"/>
          <w:szCs w:val="36"/>
          <w:u w:val="none"/>
        </w:rPr>
        <w:t xml:space="preserve">第二部分  </w:t>
      </w:r>
      <w:r>
        <w:rPr>
          <w:rFonts w:hint="eastAsia" w:ascii="方正小标宋_GBK" w:hAnsi="方正小标宋_GBK" w:eastAsia="方正小标宋_GBK" w:cs="方正小标宋_GBK"/>
          <w:color w:val="000000"/>
          <w:sz w:val="36"/>
          <w:szCs w:val="36"/>
          <w:u w:val="none"/>
          <w:lang w:eastAsia="zh-CN"/>
        </w:rPr>
        <w:t>2024年度</w:t>
      </w:r>
      <w:r>
        <w:rPr>
          <w:rFonts w:hint="eastAsia" w:ascii="方正小标宋_GBK" w:hAnsi="方正小标宋_GBK" w:eastAsia="方正小标宋_GBK" w:cs="方正小标宋_GBK"/>
          <w:color w:val="000000"/>
          <w:sz w:val="36"/>
          <w:szCs w:val="36"/>
          <w:u w:val="none"/>
        </w:rPr>
        <w:t>单位预算报表</w:t>
      </w:r>
    </w:p>
    <w:p>
      <w:pPr>
        <w:autoSpaceDE/>
        <w:autoSpaceDN/>
        <w:adjustRightInd w:val="0"/>
        <w:spacing w:line="560" w:lineRule="exact"/>
        <w:ind w:firstLine="720" w:firstLineChars="200"/>
        <w:jc w:val="left"/>
        <w:rPr>
          <w:rFonts w:hint="eastAsia" w:ascii="方正小标宋简体" w:eastAsia="方正小标宋简体"/>
          <w:color w:val="000000"/>
          <w:sz w:val="36"/>
          <w:szCs w:val="36"/>
          <w:u w:val="none"/>
        </w:rPr>
      </w:pP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附件：北京市科学技术委员会、中关村科技园区管理委员会综合事务中心202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年度单位预算报表</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1183CD54-A700-413D-8994-23D5CED038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embedRegular r:id="rId2" w:fontKey="{D8A61D6A-7DB9-47AB-99AE-DC608B71EDF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3" w:fontKey="{59275965-D677-46A3-93B4-1EC490313263}"/>
  </w:font>
  <w:font w:name="方正小标宋_GBK">
    <w:panose1 w:val="03000509000000000000"/>
    <w:charset w:val="86"/>
    <w:family w:val="auto"/>
    <w:pitch w:val="default"/>
    <w:sig w:usb0="00000001" w:usb1="080E0000" w:usb2="00000000" w:usb3="00000000" w:csb0="00040000" w:csb1="00000000"/>
    <w:embedRegular r:id="rId4" w:fontKey="{C206D27F-D90C-454F-8923-8E148D3FAEF8}"/>
  </w:font>
  <w:font w:name="方正小标宋简体">
    <w:panose1 w:val="02000000000000000000"/>
    <w:charset w:val="86"/>
    <w:family w:val="auto"/>
    <w:pitch w:val="default"/>
    <w:sig w:usb0="00000001" w:usb1="080E0000" w:usb2="00000000" w:usb3="00000000" w:csb0="00040000" w:csb1="00000000"/>
    <w:embedRegular r:id="rId5" w:fontKey="{6C9C9DB4-EC5B-478B-9C2B-2180A1C6F91C}"/>
  </w:font>
  <w:font w:name="仿宋_GB2312">
    <w:panose1 w:val="02010609030101010101"/>
    <w:charset w:val="86"/>
    <w:family w:val="modern"/>
    <w:pitch w:val="default"/>
    <w:sig w:usb0="00000001" w:usb1="080E0000" w:usb2="00000000" w:usb3="00000000" w:csb0="00040000" w:csb1="00000000"/>
    <w:embedRegular r:id="rId6" w:fontKey="{EF0F799E-7859-4528-968E-A62F31F1A8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53852519"/>
    <w:rsid w:val="0D531267"/>
    <w:rsid w:val="14037E1B"/>
    <w:rsid w:val="1F533349"/>
    <w:rsid w:val="20F9006C"/>
    <w:rsid w:val="230F5954"/>
    <w:rsid w:val="261C0F13"/>
    <w:rsid w:val="298932AE"/>
    <w:rsid w:val="29E16BA3"/>
    <w:rsid w:val="2DFC56C4"/>
    <w:rsid w:val="31A812D2"/>
    <w:rsid w:val="36B1518D"/>
    <w:rsid w:val="3A490E24"/>
    <w:rsid w:val="3A7601BF"/>
    <w:rsid w:val="3F5C6927"/>
    <w:rsid w:val="45DC653A"/>
    <w:rsid w:val="47A16C9A"/>
    <w:rsid w:val="47AF2CCB"/>
    <w:rsid w:val="4C3B3017"/>
    <w:rsid w:val="50F8576C"/>
    <w:rsid w:val="530C1269"/>
    <w:rsid w:val="53852519"/>
    <w:rsid w:val="5523289A"/>
    <w:rsid w:val="56B168C2"/>
    <w:rsid w:val="56D92B5C"/>
    <w:rsid w:val="57067323"/>
    <w:rsid w:val="609D5AF6"/>
    <w:rsid w:val="716E0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Date"/>
    <w:basedOn w:val="1"/>
    <w:next w:val="1"/>
    <w:autoRedefine/>
    <w:qFormat/>
    <w:uiPriority w:val="0"/>
    <w:rPr>
      <w:rFonts w:eastAsia="楷体_GB2312" w:cs="Droid Sans"/>
      <w:sz w:val="32"/>
      <w:szCs w:val="20"/>
      <w:lang w:bidi="ar-SA"/>
    </w:rPr>
  </w:style>
  <w:style w:type="paragraph" w:styleId="5">
    <w:name w:val="footer"/>
    <w:basedOn w:val="1"/>
    <w:autoRedefine/>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2024-02-21T09:19:00Z</dcterms:created>
  <dc:creator>龚锦</dc:creator>
  <cp:lastModifiedBy>慕九</cp:lastModifiedBy>
  <cp:lastPrinted>2024-02-27T03:37:00Z</cp:lastPrinted>
  <dcterms:modified xsi:type="dcterms:W3CDTF">2024-03-11T08:08:28Z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EFA55E7585084E0FBBA62CBFEFF7E6F9_13</vt:lpwstr>
  </property>
</Properties>
</file>