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exact"/>
        <w:rPr>
          <w:rFonts w:hint="eastAsia"/>
        </w:rPr>
      </w:pPr>
    </w:p>
    <w:p>
      <w:pPr>
        <w:spacing w:line="560" w:lineRule="exact"/>
        <w:jc w:val="center"/>
        <w:rPr>
          <w:rFonts w:hint="eastAsia" w:ascii="方正小标宋简体" w:eastAsia="方正小标宋简体"/>
          <w:color w:val="000000"/>
          <w:sz w:val="44"/>
          <w:szCs w:val="44"/>
        </w:rPr>
      </w:pPr>
      <w:r>
        <w:rPr>
          <w:rFonts w:hint="eastAsia" w:ascii="方正小标宋简体" w:eastAsia="方正小标宋简体"/>
          <w:color w:val="000000"/>
          <w:sz w:val="44"/>
          <w:szCs w:val="44"/>
        </w:rPr>
        <w:t>北京科技创新研究中心</w:t>
      </w:r>
    </w:p>
    <w:p>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2024年度单位预算信息公开</w:t>
      </w:r>
    </w:p>
    <w:p>
      <w:pPr>
        <w:spacing w:line="240" w:lineRule="exact"/>
        <w:jc w:val="center"/>
        <w:rPr>
          <w:rFonts w:ascii="方正小标宋简体" w:eastAsia="方正小标宋简体"/>
          <w:color w:val="000000"/>
          <w:sz w:val="32"/>
          <w:szCs w:val="32"/>
        </w:rPr>
      </w:pP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pStyle w:val="2"/>
        <w:rPr>
          <w:color w:val="000000"/>
        </w:rPr>
      </w:pP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2024年度单位预算情况说明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2024年度单位预算报表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w:t>
      </w:r>
      <w:r>
        <w:rPr>
          <w:rFonts w:hint="eastAsia" w:ascii="仿宋_GB2312" w:hAnsi="仿宋_GB2312" w:eastAsia="仿宋_GB2312" w:cs="仿宋_GB2312"/>
          <w:color w:val="000000"/>
          <w:spacing w:val="-16"/>
          <w:kern w:val="0"/>
          <w:sz w:val="32"/>
          <w:szCs w:val="32"/>
          <w:lang w:val="zh-CN"/>
        </w:rPr>
        <w:t>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仿宋_GB2312" w:hAnsi="仿宋_GB2312" w:eastAsia="仿宋_GB2312" w:cs="仿宋_GB2312"/>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2024年度单位预算情况说明</w:t>
      </w:r>
    </w:p>
    <w:p>
      <w:pPr>
        <w:spacing w:line="560" w:lineRule="exact"/>
        <w:ind w:firstLine="640" w:firstLineChars="200"/>
        <w:rPr>
          <w:rFonts w:ascii="黑体" w:eastAsia="黑体"/>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eastAsia="仿宋_GB2312"/>
          <w:sz w:val="32"/>
          <w:szCs w:val="32"/>
        </w:rPr>
      </w:pPr>
      <w:r>
        <w:rPr>
          <w:rFonts w:hint="eastAsia" w:ascii="仿宋_GB2312" w:hAnsi="仿宋" w:eastAsia="仿宋_GB2312"/>
          <w:sz w:val="32"/>
          <w:szCs w:val="32"/>
        </w:rPr>
        <w:t>北京科技创新研究中心根据《中共北京市委机构编制委员会办公室关于同意调整市科委所属部分事业单位的函》（京编办事〔2019〕144号）设立，是市科委所属正处级公益一类事业单位。根据中共北京市委机构编制委员会《关于市科委、中关村管委会所属事业单位改革有关事项的批复》（京编委[2021]66号）同意保留北京科技创新研究中心。主要职责为：承担国际科技创新中心、中关村国家自主创新示范区的战略、规划、政策研究工作，科技统计分析和指标监测工作，“三城一区”联系服务等工作。</w:t>
      </w:r>
    </w:p>
    <w:p>
      <w:pPr>
        <w:numPr>
          <w:ilvl w:val="0"/>
          <w:numId w:val="1"/>
        </w:num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机构设置情况</w:t>
      </w:r>
    </w:p>
    <w:p>
      <w:pPr>
        <w:spacing w:line="560" w:lineRule="exact"/>
        <w:ind w:firstLine="640" w:firstLineChars="200"/>
        <w:rPr>
          <w:rFonts w:ascii="楷体_GB2312" w:eastAsia="楷体_GB2312"/>
          <w:color w:val="000000"/>
          <w:sz w:val="32"/>
          <w:szCs w:val="32"/>
        </w:rPr>
      </w:pPr>
      <w:r>
        <w:rPr>
          <w:rFonts w:hint="eastAsia" w:ascii="仿宋_GB2312" w:hAnsi="仿宋" w:eastAsia="仿宋_GB2312"/>
          <w:sz w:val="32"/>
          <w:szCs w:val="32"/>
        </w:rPr>
        <w:t>北京科技创新研究中心内设</w:t>
      </w:r>
      <w:r>
        <w:rPr>
          <w:rFonts w:ascii="仿宋_GB2312" w:hAnsi="仿宋" w:eastAsia="仿宋_GB2312"/>
          <w:sz w:val="32"/>
          <w:szCs w:val="32"/>
        </w:rPr>
        <w:t>7</w:t>
      </w:r>
      <w:r>
        <w:rPr>
          <w:rFonts w:hint="eastAsia" w:ascii="仿宋_GB2312" w:hAnsi="仿宋" w:eastAsia="仿宋_GB2312"/>
          <w:sz w:val="32"/>
          <w:szCs w:val="32"/>
        </w:rPr>
        <w:t>个部门，分别是综合</w:t>
      </w:r>
      <w:r>
        <w:rPr>
          <w:rFonts w:ascii="仿宋_GB2312" w:hAnsi="仿宋" w:eastAsia="仿宋_GB2312"/>
          <w:sz w:val="32"/>
          <w:szCs w:val="32"/>
        </w:rPr>
        <w:t>管理部</w:t>
      </w:r>
      <w:r>
        <w:rPr>
          <w:rFonts w:hint="eastAsia" w:ascii="仿宋_GB2312" w:hAnsi="仿宋" w:eastAsia="仿宋_GB2312"/>
          <w:sz w:val="32"/>
          <w:szCs w:val="32"/>
        </w:rPr>
        <w:t>、发展研究</w:t>
      </w:r>
      <w:r>
        <w:rPr>
          <w:rFonts w:ascii="仿宋_GB2312" w:hAnsi="仿宋" w:eastAsia="仿宋_GB2312"/>
          <w:sz w:val="32"/>
          <w:szCs w:val="32"/>
        </w:rPr>
        <w:t>部、</w:t>
      </w:r>
      <w:r>
        <w:rPr>
          <w:rFonts w:hint="eastAsia" w:ascii="仿宋_GB2312" w:hAnsi="仿宋" w:eastAsia="仿宋_GB2312"/>
          <w:sz w:val="32"/>
          <w:szCs w:val="32"/>
        </w:rPr>
        <w:t>政策研究</w:t>
      </w:r>
      <w:r>
        <w:rPr>
          <w:rFonts w:ascii="仿宋_GB2312" w:hAnsi="仿宋" w:eastAsia="仿宋_GB2312"/>
          <w:sz w:val="32"/>
          <w:szCs w:val="32"/>
        </w:rPr>
        <w:t>部、</w:t>
      </w:r>
      <w:r>
        <w:rPr>
          <w:rFonts w:hint="eastAsia" w:ascii="仿宋_GB2312" w:hAnsi="仿宋" w:eastAsia="仿宋_GB2312"/>
          <w:sz w:val="32"/>
          <w:szCs w:val="32"/>
        </w:rPr>
        <w:t>决策研究</w:t>
      </w:r>
      <w:r>
        <w:rPr>
          <w:rFonts w:ascii="仿宋_GB2312" w:hAnsi="仿宋" w:eastAsia="仿宋_GB2312"/>
          <w:sz w:val="32"/>
          <w:szCs w:val="32"/>
        </w:rPr>
        <w:t>部、</w:t>
      </w:r>
      <w:r>
        <w:rPr>
          <w:rFonts w:hint="eastAsia" w:ascii="仿宋_GB2312" w:hAnsi="仿宋" w:eastAsia="仿宋_GB2312"/>
          <w:sz w:val="32"/>
          <w:szCs w:val="32"/>
        </w:rPr>
        <w:t>统计分析</w:t>
      </w:r>
      <w:r>
        <w:rPr>
          <w:rFonts w:ascii="仿宋_GB2312" w:hAnsi="仿宋" w:eastAsia="仿宋_GB2312"/>
          <w:sz w:val="32"/>
          <w:szCs w:val="32"/>
        </w:rPr>
        <w:t>部、</w:t>
      </w:r>
      <w:r>
        <w:rPr>
          <w:rFonts w:hint="eastAsia" w:ascii="仿宋_GB2312" w:hAnsi="仿宋" w:eastAsia="仿宋_GB2312"/>
          <w:sz w:val="32"/>
          <w:szCs w:val="32"/>
        </w:rPr>
        <w:t>创新评价部和协调联络</w:t>
      </w:r>
      <w:r>
        <w:rPr>
          <w:rFonts w:ascii="仿宋_GB2312" w:hAnsi="仿宋" w:eastAsia="仿宋_GB2312"/>
          <w:sz w:val="32"/>
          <w:szCs w:val="32"/>
        </w:rPr>
        <w:t>部</w:t>
      </w:r>
      <w:r>
        <w:rPr>
          <w:rFonts w:hint="eastAsia" w:ascii="仿宋_GB2312" w:hAnsi="仿宋" w:eastAsia="仿宋_GB2312"/>
          <w:sz w:val="32"/>
          <w:szCs w:val="32"/>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color w:val="000000"/>
          <w:sz w:val="32"/>
          <w:szCs w:val="32"/>
        </w:rPr>
      </w:pPr>
      <w:r>
        <w:rPr>
          <w:rFonts w:hint="eastAsia" w:ascii="仿宋_GB2312" w:hAnsi="仿宋" w:eastAsia="仿宋_GB2312"/>
          <w:sz w:val="32"/>
          <w:szCs w:val="32"/>
        </w:rPr>
        <w:t>北京科技创新研究中心</w:t>
      </w:r>
      <w:r>
        <w:rPr>
          <w:rFonts w:hint="eastAsia" w:ascii="仿宋_GB2312" w:eastAsia="仿宋_GB2312"/>
          <w:color w:val="000000"/>
          <w:sz w:val="32"/>
          <w:szCs w:val="32"/>
        </w:rPr>
        <w:t>事业编制51人，实有人数43人；离退休人员0人，其中：离休人员0人，退休人员0人。</w:t>
      </w:r>
    </w:p>
    <w:p>
      <w:pPr>
        <w:numPr>
          <w:ilvl w:val="-1"/>
          <w:numId w:val="0"/>
        </w:numPr>
        <w:spacing w:line="560" w:lineRule="exact"/>
        <w:ind w:firstLine="640" w:firstLineChars="200"/>
        <w:rPr>
          <w:rFonts w:hint="eastAsia" w:ascii="黑体" w:eastAsia="黑体"/>
          <w:color w:val="auto"/>
          <w:sz w:val="32"/>
          <w:szCs w:val="32"/>
        </w:rPr>
      </w:pPr>
      <w:r>
        <w:rPr>
          <w:rFonts w:hint="eastAsia" w:ascii="黑体" w:eastAsia="黑体"/>
          <w:sz w:val="32"/>
          <w:szCs w:val="32"/>
          <w:lang w:val="en-US" w:eastAsia="zh-CN"/>
        </w:rPr>
        <w:t>二、</w:t>
      </w:r>
      <w:r>
        <w:rPr>
          <w:rFonts w:hint="eastAsia" w:ascii="黑体" w:eastAsia="黑体"/>
          <w:color w:val="auto"/>
          <w:sz w:val="32"/>
          <w:szCs w:val="32"/>
        </w:rPr>
        <w:t>收入预算情况说明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2024年度收入预算2</w:t>
      </w:r>
      <w:r>
        <w:rPr>
          <w:rFonts w:hint="eastAsia" w:ascii="仿宋_GB2312" w:eastAsia="仿宋_GB2312"/>
          <w:sz w:val="32"/>
          <w:szCs w:val="32"/>
          <w:lang w:val="en-US" w:eastAsia="zh-CN"/>
        </w:rPr>
        <w:t>,</w:t>
      </w:r>
      <w:r>
        <w:rPr>
          <w:rFonts w:hint="eastAsia" w:ascii="仿宋_GB2312" w:eastAsia="仿宋_GB2312"/>
          <w:sz w:val="32"/>
          <w:szCs w:val="32"/>
        </w:rPr>
        <w:t>18</w:t>
      </w:r>
      <w:r>
        <w:rPr>
          <w:rFonts w:hint="eastAsia" w:ascii="仿宋_GB2312" w:eastAsia="仿宋_GB2312"/>
          <w:sz w:val="32"/>
          <w:szCs w:val="32"/>
          <w:lang w:val="en-US" w:eastAsia="zh-CN"/>
        </w:rPr>
        <w:t>2</w:t>
      </w:r>
      <w:r>
        <w:rPr>
          <w:rFonts w:hint="eastAsia" w:ascii="仿宋_GB2312" w:eastAsia="仿宋_GB2312"/>
          <w:sz w:val="32"/>
          <w:szCs w:val="32"/>
        </w:rPr>
        <w:t>.14万元，比2023年年初预算数</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2206.19 \# "#,##0.00"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2,206.19</w:t>
      </w:r>
      <w:r>
        <w:rPr>
          <w:rFonts w:hint="eastAsia" w:ascii="仿宋_GB2312" w:hAnsi="仿宋_GB2312" w:eastAsia="仿宋_GB2312" w:cs="仿宋_GB2312"/>
          <w:sz w:val="32"/>
          <w:szCs w:val="32"/>
        </w:rPr>
        <w:fldChar w:fldCharType="end"/>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rPr>
        <w:t>24.05万元，下降1.10%。</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hint="default" w:ascii="楷体_GB2312" w:eastAsia="楷体_GB2312"/>
          <w:sz w:val="32"/>
          <w:szCs w:val="32"/>
        </w:rPr>
        <w:fldChar w:fldCharType="begin"/>
      </w:r>
      <w:r>
        <w:rPr>
          <w:rFonts w:hint="default" w:ascii="楷体_GB2312" w:eastAsia="楷体_GB2312"/>
          <w:sz w:val="32"/>
          <w:szCs w:val="32"/>
        </w:rPr>
        <w:instrText xml:space="preserve"> = 2181.14 \# "#,##0.00" \* MERGEFORMAT </w:instrText>
      </w:r>
      <w:r>
        <w:rPr>
          <w:rFonts w:hint="default" w:ascii="楷体_GB2312" w:eastAsia="楷体_GB2312"/>
          <w:sz w:val="32"/>
          <w:szCs w:val="32"/>
        </w:rPr>
        <w:fldChar w:fldCharType="separate"/>
      </w:r>
      <w:r>
        <w:rPr>
          <w:rFonts w:hint="eastAsia" w:ascii="楷体_GB2312" w:eastAsia="楷体_GB2312"/>
          <w:sz w:val="32"/>
          <w:szCs w:val="32"/>
        </w:rPr>
        <w:t>2,18</w:t>
      </w:r>
      <w:r>
        <w:rPr>
          <w:rFonts w:hint="eastAsia" w:ascii="楷体_GB2312" w:eastAsia="楷体_GB2312"/>
          <w:sz w:val="32"/>
          <w:szCs w:val="32"/>
          <w:lang w:val="en-US" w:eastAsia="zh-CN"/>
        </w:rPr>
        <w:t>2</w:t>
      </w:r>
      <w:r>
        <w:rPr>
          <w:rFonts w:hint="eastAsia" w:ascii="楷体_GB2312" w:eastAsia="楷体_GB2312"/>
          <w:sz w:val="32"/>
          <w:szCs w:val="32"/>
        </w:rPr>
        <w:t>.14</w:t>
      </w:r>
      <w:r>
        <w:rPr>
          <w:rFonts w:hint="default" w:ascii="楷体_GB2312" w:eastAsia="楷体_GB2312"/>
          <w:sz w:val="32"/>
          <w:szCs w:val="32"/>
        </w:rPr>
        <w:fldChar w:fldCharType="end"/>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hint="default" w:ascii="楷体_GB2312" w:eastAsia="楷体_GB2312"/>
          <w:sz w:val="32"/>
          <w:szCs w:val="32"/>
        </w:rPr>
        <w:fldChar w:fldCharType="begin"/>
      </w:r>
      <w:r>
        <w:rPr>
          <w:rFonts w:hint="default" w:ascii="楷体_GB2312" w:eastAsia="楷体_GB2312"/>
          <w:sz w:val="32"/>
          <w:szCs w:val="32"/>
        </w:rPr>
        <w:instrText xml:space="preserve"> = 2181.14 \# "#,##0.00" \* MERGEFORMAT </w:instrText>
      </w:r>
      <w:r>
        <w:rPr>
          <w:rFonts w:hint="default" w:ascii="楷体_GB2312" w:eastAsia="楷体_GB2312"/>
          <w:sz w:val="32"/>
          <w:szCs w:val="32"/>
        </w:rPr>
        <w:fldChar w:fldCharType="separate"/>
      </w:r>
      <w:r>
        <w:rPr>
          <w:rFonts w:hint="eastAsia" w:ascii="楷体_GB2312" w:eastAsia="楷体_GB2312"/>
          <w:sz w:val="32"/>
          <w:szCs w:val="32"/>
        </w:rPr>
        <w:t>2,18</w:t>
      </w:r>
      <w:r>
        <w:rPr>
          <w:rFonts w:hint="eastAsia" w:ascii="楷体_GB2312" w:eastAsia="楷体_GB2312"/>
          <w:sz w:val="32"/>
          <w:szCs w:val="32"/>
          <w:lang w:val="en-US" w:eastAsia="zh-CN"/>
        </w:rPr>
        <w:t>2</w:t>
      </w:r>
      <w:r>
        <w:rPr>
          <w:rFonts w:hint="eastAsia" w:ascii="楷体_GB2312" w:eastAsia="楷体_GB2312"/>
          <w:sz w:val="32"/>
          <w:szCs w:val="32"/>
        </w:rPr>
        <w:t>.14</w:t>
      </w:r>
      <w:r>
        <w:rPr>
          <w:rFonts w:hint="default" w:ascii="楷体_GB2312" w:eastAsia="楷体_GB2312"/>
          <w:sz w:val="32"/>
          <w:szCs w:val="32"/>
        </w:rPr>
        <w:fldChar w:fldCharType="end"/>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w:t>
      </w:r>
      <w:r>
        <w:rPr>
          <w:rFonts w:hint="eastAsia" w:ascii="仿宋_GB2312" w:eastAsia="仿宋_GB2312"/>
          <w:sz w:val="32"/>
          <w:szCs w:val="32"/>
          <w:lang w:val="en-US" w:eastAsia="zh-CN"/>
        </w:rPr>
        <w:t>.00</w:t>
      </w:r>
      <w:r>
        <w:rPr>
          <w:rFonts w:hint="eastAsia" w:ascii="仿宋_GB2312" w:eastAsia="仿宋_GB2312"/>
          <w:sz w:val="32"/>
          <w:szCs w:val="32"/>
        </w:rPr>
        <w:t>万元。</w:t>
      </w:r>
      <w:bookmarkStart w:id="1" w:name="_GoBack"/>
      <w:bookmarkEnd w:id="1"/>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w:t>
      </w:r>
      <w:r>
        <w:rPr>
          <w:rFonts w:hint="eastAsia" w:ascii="仿宋_GB2312" w:eastAsia="仿宋_GB2312"/>
          <w:sz w:val="32"/>
          <w:szCs w:val="32"/>
          <w:lang w:val="en-US" w:eastAsia="zh-CN"/>
        </w:rPr>
        <w:t>.00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（二）本年其他资金收入0</w:t>
      </w:r>
      <w:r>
        <w:rPr>
          <w:rFonts w:hint="eastAsia" w:ascii="楷体_GB2312" w:eastAsia="楷体_GB2312"/>
          <w:sz w:val="32"/>
          <w:szCs w:val="32"/>
          <w:lang w:val="en-US" w:eastAsia="zh-CN"/>
        </w:rPr>
        <w:t>.00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w:t>
      </w:r>
      <w:r>
        <w:rPr>
          <w:rFonts w:hint="eastAsia" w:ascii="仿宋_GB2312" w:eastAsia="仿宋_GB2312"/>
          <w:sz w:val="32"/>
          <w:szCs w:val="32"/>
          <w:lang w:val="en-US" w:eastAsia="zh-CN"/>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w:t>
      </w:r>
      <w:r>
        <w:rPr>
          <w:rFonts w:hint="eastAsia" w:ascii="仿宋_GB2312" w:eastAsia="仿宋_GB2312"/>
          <w:sz w:val="32"/>
          <w:szCs w:val="32"/>
          <w:lang w:val="en-US" w:eastAsia="zh-CN"/>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w:t>
      </w:r>
      <w:r>
        <w:rPr>
          <w:rFonts w:hint="eastAsia" w:ascii="仿宋_GB2312" w:eastAsia="仿宋_GB2312"/>
          <w:sz w:val="32"/>
          <w:szCs w:val="32"/>
          <w:lang w:val="en-US" w:eastAsia="zh-CN"/>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w:t>
      </w:r>
      <w:r>
        <w:rPr>
          <w:rFonts w:hint="eastAsia" w:ascii="仿宋_GB2312" w:eastAsia="仿宋_GB2312"/>
          <w:sz w:val="32"/>
          <w:szCs w:val="32"/>
          <w:lang w:val="en-US" w:eastAsia="zh-CN"/>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w:t>
      </w:r>
      <w:r>
        <w:rPr>
          <w:rFonts w:hint="eastAsia" w:ascii="仿宋_GB2312" w:eastAsia="仿宋_GB2312"/>
          <w:sz w:val="32"/>
          <w:szCs w:val="32"/>
          <w:lang w:val="en-US" w:eastAsia="zh-CN"/>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w:t>
      </w:r>
      <w:r>
        <w:rPr>
          <w:rFonts w:hint="eastAsia" w:ascii="仿宋_GB2312" w:eastAsia="仿宋_GB2312"/>
          <w:sz w:val="32"/>
          <w:szCs w:val="32"/>
          <w:lang w:val="en-US" w:eastAsia="zh-CN"/>
        </w:rPr>
        <w:t>.00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（三）上年结转结余0</w:t>
      </w:r>
      <w:r>
        <w:rPr>
          <w:rFonts w:hint="eastAsia" w:ascii="楷体_GB2312" w:eastAsia="楷体_GB2312"/>
          <w:sz w:val="32"/>
          <w:szCs w:val="32"/>
          <w:lang w:val="en-US" w:eastAsia="zh-CN"/>
        </w:rPr>
        <w:t>.00</w:t>
      </w:r>
      <w:r>
        <w:rPr>
          <w:rFonts w:hint="eastAsia" w:ascii="楷体_GB2312" w:eastAsia="楷体_GB2312"/>
          <w:sz w:val="32"/>
          <w:szCs w:val="32"/>
        </w:rPr>
        <w:t>万元</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10.上年结转结余0</w:t>
      </w:r>
      <w:r>
        <w:rPr>
          <w:rFonts w:hint="eastAsia" w:ascii="仿宋_GB2312" w:eastAsia="仿宋_GB2312"/>
          <w:sz w:val="32"/>
          <w:szCs w:val="32"/>
          <w:lang w:val="en-US" w:eastAsia="zh-CN"/>
        </w:rPr>
        <w:t>.00</w:t>
      </w:r>
      <w:r>
        <w:rPr>
          <w:rFonts w:hint="eastAsia" w:ascii="仿宋_GB2312" w:eastAsia="仿宋_GB2312"/>
          <w:sz w:val="32"/>
          <w:szCs w:val="32"/>
        </w:rPr>
        <w:t>万元。</w:t>
      </w:r>
    </w:p>
    <w:p>
      <w:pPr>
        <w:spacing w:line="560" w:lineRule="exact"/>
        <w:ind w:firstLine="640"/>
        <w:rPr>
          <w:rFonts w:ascii="仿宋_GB2312" w:eastAsia="仿宋_GB2312"/>
          <w:color w:val="000000"/>
          <w:sz w:val="32"/>
          <w:szCs w:val="32"/>
        </w:rPr>
      </w:pPr>
    </w:p>
    <w:p>
      <w:pPr>
        <w:pStyle w:val="2"/>
      </w:pPr>
      <w:r>
        <w:drawing>
          <wp:inline distT="0" distB="0" distL="0" distR="0">
            <wp:extent cx="5151120" cy="1905000"/>
            <wp:effectExtent l="5080" t="5080" r="6350" b="1397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2"/>
        <w:jc w:val="center"/>
        <w:rPr>
          <w:rFonts w:ascii="仿宋_GB2312" w:eastAsia="仿宋_GB2312"/>
          <w:sz w:val="32"/>
        </w:rPr>
      </w:pPr>
      <w:r>
        <w:rPr>
          <w:rFonts w:hint="eastAsia" w:ascii="仿宋_GB2312" w:eastAsia="仿宋_GB2312"/>
          <w:sz w:val="32"/>
        </w:rPr>
        <w:t>图1：收入预算</w:t>
      </w:r>
    </w:p>
    <w:p>
      <w:pPr>
        <w:spacing w:line="560" w:lineRule="exact"/>
        <w:ind w:firstLine="640" w:firstLineChars="200"/>
        <w:rPr>
          <w:rFonts w:hint="eastAsia" w:ascii="黑体" w:eastAsia="黑体"/>
          <w:b w:val="0"/>
          <w:bCs w:val="0"/>
          <w:sz w:val="32"/>
          <w:szCs w:val="32"/>
        </w:rPr>
      </w:pPr>
      <w:r>
        <w:rPr>
          <w:rFonts w:hint="eastAsia" w:ascii="黑体" w:eastAsia="黑体"/>
          <w:sz w:val="32"/>
          <w:szCs w:val="32"/>
        </w:rPr>
        <w:t>三、支出预算情况说明</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2024年支出预算</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2181.14 \# "#,##0.00"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2,18</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.14</w:t>
      </w:r>
      <w:r>
        <w:rPr>
          <w:rFonts w:hint="eastAsia" w:ascii="仿宋_GB2312" w:hAnsi="仿宋_GB2312" w:eastAsia="仿宋_GB2312" w:cs="仿宋_GB2312"/>
          <w:sz w:val="32"/>
          <w:szCs w:val="32"/>
        </w:rPr>
        <w:fldChar w:fldCharType="end"/>
      </w:r>
      <w:r>
        <w:rPr>
          <w:rFonts w:hint="eastAsia" w:ascii="仿宋_GB2312" w:eastAsia="仿宋_GB2312"/>
          <w:sz w:val="32"/>
          <w:szCs w:val="32"/>
        </w:rPr>
        <w:t>万元，比2023年年初预算数</w:t>
      </w:r>
      <w:r>
        <w:rPr>
          <w:rFonts w:hint="default" w:ascii="仿宋_GB2312" w:eastAsia="仿宋_GB2312"/>
          <w:sz w:val="32"/>
          <w:szCs w:val="32"/>
        </w:rPr>
        <w:fldChar w:fldCharType="begin"/>
      </w:r>
      <w:r>
        <w:rPr>
          <w:rFonts w:hint="default" w:ascii="仿宋_GB2312" w:eastAsia="仿宋_GB2312"/>
          <w:sz w:val="32"/>
          <w:szCs w:val="32"/>
        </w:rPr>
        <w:instrText xml:space="preserve"> = 2206.19 \# "#,##0.00" \* MERGEFORMAT </w:instrText>
      </w:r>
      <w:r>
        <w:rPr>
          <w:rFonts w:hint="default" w:ascii="仿宋_GB2312" w:eastAsia="仿宋_GB2312"/>
          <w:sz w:val="32"/>
          <w:szCs w:val="32"/>
        </w:rPr>
        <w:fldChar w:fldCharType="separate"/>
      </w:r>
      <w:r>
        <w:rPr>
          <w:rFonts w:hint="eastAsia" w:ascii="仿宋_GB2312" w:eastAsia="仿宋_GB2312"/>
          <w:sz w:val="32"/>
          <w:szCs w:val="32"/>
        </w:rPr>
        <w:t>2,206.19</w:t>
      </w:r>
      <w:r>
        <w:rPr>
          <w:rFonts w:hint="default" w:ascii="仿宋_GB2312" w:eastAsia="仿宋_GB2312"/>
          <w:sz w:val="32"/>
          <w:szCs w:val="32"/>
        </w:rPr>
        <w:fldChar w:fldCharType="end"/>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rPr>
        <w:t>24.05万元，下降1.10%。</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hint="default" w:ascii="仿宋_GB2312" w:eastAsia="仿宋_GB2312"/>
          <w:sz w:val="32"/>
          <w:szCs w:val="32"/>
        </w:rPr>
        <w:fldChar w:fldCharType="begin"/>
      </w:r>
      <w:r>
        <w:rPr>
          <w:rFonts w:hint="default" w:ascii="仿宋_GB2312" w:eastAsia="仿宋_GB2312"/>
          <w:sz w:val="32"/>
          <w:szCs w:val="32"/>
        </w:rPr>
        <w:instrText xml:space="preserve"> = 1964.55 \# "#,##0.00" \* MERGEFORMAT </w:instrText>
      </w:r>
      <w:r>
        <w:rPr>
          <w:rFonts w:hint="default" w:ascii="仿宋_GB2312" w:eastAsia="仿宋_GB2312"/>
          <w:sz w:val="32"/>
          <w:szCs w:val="32"/>
        </w:rPr>
        <w:fldChar w:fldCharType="separate"/>
      </w:r>
      <w:r>
        <w:rPr>
          <w:rFonts w:hint="eastAsia" w:ascii="仿宋_GB2312" w:eastAsia="仿宋_GB2312"/>
          <w:sz w:val="32"/>
          <w:szCs w:val="32"/>
        </w:rPr>
        <w:t>1,964.55</w:t>
      </w:r>
      <w:r>
        <w:rPr>
          <w:rFonts w:hint="default" w:ascii="仿宋_GB2312" w:eastAsia="仿宋_GB2312"/>
          <w:sz w:val="32"/>
          <w:szCs w:val="32"/>
        </w:rPr>
        <w:fldChar w:fldCharType="end"/>
      </w:r>
      <w:r>
        <w:rPr>
          <w:rFonts w:hint="eastAsia" w:ascii="仿宋_GB2312" w:eastAsia="仿宋_GB2312"/>
          <w:sz w:val="32"/>
          <w:szCs w:val="32"/>
        </w:rPr>
        <w:t>万元，占总支出预算90.03%，比2023年年初预算数</w:t>
      </w:r>
      <w:r>
        <w:rPr>
          <w:rFonts w:hint="default" w:ascii="仿宋_GB2312" w:eastAsia="仿宋_GB2312"/>
          <w:sz w:val="32"/>
          <w:szCs w:val="32"/>
        </w:rPr>
        <w:fldChar w:fldCharType="begin"/>
      </w:r>
      <w:r>
        <w:rPr>
          <w:rFonts w:hint="default" w:ascii="仿宋_GB2312" w:eastAsia="仿宋_GB2312"/>
          <w:sz w:val="32"/>
          <w:szCs w:val="32"/>
        </w:rPr>
        <w:instrText xml:space="preserve"> = 1897.93 \# "#,##0.00" \* MERGEFORMAT </w:instrText>
      </w:r>
      <w:r>
        <w:rPr>
          <w:rFonts w:hint="default" w:ascii="仿宋_GB2312" w:eastAsia="仿宋_GB2312"/>
          <w:sz w:val="32"/>
          <w:szCs w:val="32"/>
        </w:rPr>
        <w:fldChar w:fldCharType="separate"/>
      </w:r>
      <w:r>
        <w:rPr>
          <w:rFonts w:hint="eastAsia" w:ascii="仿宋_GB2312" w:eastAsia="仿宋_GB2312"/>
          <w:sz w:val="32"/>
          <w:szCs w:val="32"/>
        </w:rPr>
        <w:t>1,897.</w:t>
      </w:r>
      <w:r>
        <w:rPr>
          <w:rFonts w:hint="default" w:ascii="仿宋_GB2312" w:eastAsia="仿宋_GB2312"/>
          <w:sz w:val="32"/>
          <w:szCs w:val="32"/>
        </w:rPr>
        <w:t>93</w:t>
      </w:r>
      <w:r>
        <w:rPr>
          <w:rFonts w:hint="default" w:ascii="仿宋_GB2312" w:eastAsia="仿宋_GB2312"/>
          <w:sz w:val="32"/>
          <w:szCs w:val="32"/>
        </w:rPr>
        <w:fldChar w:fldCharType="end"/>
      </w:r>
      <w:r>
        <w:rPr>
          <w:rFonts w:hint="eastAsia" w:ascii="仿宋_GB2312" w:eastAsia="仿宋_GB2312"/>
          <w:sz w:val="32"/>
          <w:szCs w:val="32"/>
        </w:rPr>
        <w:t>万元增加66.62万元，增长3.51%。</w:t>
      </w:r>
    </w:p>
    <w:p>
      <w:pPr>
        <w:spacing w:line="560" w:lineRule="exact"/>
        <w:ind w:firstLine="640" w:firstLineChars="20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hint="default" w:ascii="仿宋_GB2312" w:eastAsia="仿宋_GB2312"/>
          <w:sz w:val="32"/>
          <w:szCs w:val="32"/>
        </w:rPr>
        <w:fldChar w:fldCharType="begin"/>
      </w:r>
      <w:r>
        <w:rPr>
          <w:rFonts w:hint="default" w:ascii="仿宋_GB2312" w:eastAsia="仿宋_GB2312"/>
          <w:sz w:val="32"/>
          <w:szCs w:val="32"/>
        </w:rPr>
        <w:instrText xml:space="preserve"> = 217.59 \# "#,##0.00" \* MERGEFORMAT </w:instrText>
      </w:r>
      <w:r>
        <w:rPr>
          <w:rFonts w:hint="default" w:ascii="仿宋_GB2312" w:eastAsia="仿宋_GB2312"/>
          <w:sz w:val="32"/>
          <w:szCs w:val="32"/>
        </w:rPr>
        <w:fldChar w:fldCharType="separate"/>
      </w:r>
      <w:r>
        <w:rPr>
          <w:rFonts w:hint="eastAsia" w:ascii="仿宋_GB2312" w:eastAsia="仿宋_GB2312"/>
          <w:sz w:val="32"/>
          <w:szCs w:val="32"/>
        </w:rPr>
        <w:t>217.59</w:t>
      </w:r>
      <w:r>
        <w:rPr>
          <w:rFonts w:hint="default" w:ascii="仿宋_GB2312" w:eastAsia="仿宋_GB2312"/>
          <w:sz w:val="32"/>
          <w:szCs w:val="32"/>
        </w:rPr>
        <w:fldChar w:fldCharType="end"/>
      </w:r>
      <w:r>
        <w:rPr>
          <w:rFonts w:hint="eastAsia" w:ascii="仿宋_GB2312" w:eastAsia="仿宋_GB2312"/>
          <w:sz w:val="32"/>
          <w:szCs w:val="32"/>
        </w:rPr>
        <w:t>万元，比2023年年初预算数308.25万元减少90.66万元，下降29.41%。其中：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1.事业单位经营支出0</w:t>
      </w:r>
      <w:r>
        <w:rPr>
          <w:rFonts w:hint="eastAsia" w:ascii="仿宋_GB2312" w:eastAsia="仿宋_GB2312"/>
          <w:sz w:val="32"/>
          <w:szCs w:val="32"/>
          <w:lang w:val="en-US" w:eastAsia="zh-CN"/>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2.上缴上级支出0</w:t>
      </w:r>
      <w:r>
        <w:rPr>
          <w:rFonts w:hint="eastAsia" w:ascii="仿宋_GB2312" w:eastAsia="仿宋_GB2312"/>
          <w:sz w:val="32"/>
          <w:szCs w:val="32"/>
          <w:lang w:val="en-US" w:eastAsia="zh-CN"/>
        </w:rPr>
        <w:t>.00</w:t>
      </w:r>
      <w:r>
        <w:rPr>
          <w:rFonts w:hint="eastAsia" w:ascii="仿宋_GB2312" w:eastAsia="仿宋_GB2312"/>
          <w:sz w:val="32"/>
          <w:szCs w:val="32"/>
        </w:rPr>
        <w:t>万元。</w:t>
      </w:r>
    </w:p>
    <w:p>
      <w:pPr>
        <w:spacing w:line="560" w:lineRule="exact"/>
        <w:ind w:firstLine="640" w:firstLineChars="200"/>
      </w:pPr>
      <w:r>
        <w:rPr>
          <w:rFonts w:hint="eastAsia" w:ascii="仿宋_GB2312" w:eastAsia="仿宋_GB2312"/>
          <w:sz w:val="32"/>
          <w:szCs w:val="32"/>
        </w:rPr>
        <w:t>3.对附属单位补助支出0</w:t>
      </w:r>
      <w:r>
        <w:rPr>
          <w:rFonts w:hint="eastAsia" w:ascii="仿宋_GB2312" w:eastAsia="仿宋_GB2312"/>
          <w:sz w:val="32"/>
          <w:szCs w:val="32"/>
          <w:lang w:val="en-US" w:eastAsia="zh-CN"/>
        </w:rPr>
        <w:t>.00</w:t>
      </w:r>
      <w:r>
        <w:rPr>
          <w:rFonts w:hint="eastAsia" w:ascii="仿宋_GB2312" w:eastAsia="仿宋_GB2312"/>
          <w:sz w:val="32"/>
          <w:szCs w:val="32"/>
        </w:rPr>
        <w:t>万元。</w:t>
      </w:r>
    </w:p>
    <w:p/>
    <w:p>
      <w:pPr>
        <w:pStyle w:val="2"/>
      </w:pPr>
      <w:r>
        <w:drawing>
          <wp:inline distT="0" distB="0" distL="0" distR="0">
            <wp:extent cx="5286375" cy="2082800"/>
            <wp:effectExtent l="0" t="0" r="9525" b="12700"/>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
        <w:ind w:firstLine="642" w:firstLineChars="200"/>
        <w:jc w:val="center"/>
      </w:pPr>
      <w:r>
        <w:rPr>
          <w:rFonts w:hint="eastAsia" w:ascii="仿宋_GB2312" w:eastAsia="仿宋_GB2312"/>
          <w:sz w:val="32"/>
        </w:rPr>
        <w:t>图2：基本支出和项目支出情况</w:t>
      </w:r>
    </w:p>
    <w:p>
      <w:pPr>
        <w:numPr>
          <w:ilvl w:val="0"/>
          <w:numId w:val="2"/>
        </w:num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年终结转结余资金0</w:t>
      </w:r>
      <w:r>
        <w:rPr>
          <w:rFonts w:hint="eastAsia" w:ascii="楷体_GB2312" w:hAnsi="楷体_GB2312" w:eastAsia="楷体_GB2312" w:cs="楷体_GB2312"/>
          <w:color w:val="000000"/>
          <w:sz w:val="32"/>
          <w:szCs w:val="32"/>
          <w:lang w:val="en-US" w:eastAsia="zh-CN"/>
        </w:rPr>
        <w:t>.00</w:t>
      </w:r>
      <w:r>
        <w:rPr>
          <w:rFonts w:hint="eastAsia" w:ascii="楷体_GB2312" w:hAnsi="楷体_GB2312" w:eastAsia="楷体_GB2312" w:cs="楷体_GB2312"/>
          <w:color w:val="000000"/>
          <w:sz w:val="32"/>
          <w:szCs w:val="32"/>
        </w:rPr>
        <w:t>万元。</w:t>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北京科技创新研究中心因公出国（境）费用、公务接待费、公务用车购置和运行维护费开支单位包括1个事业单位，无所属单位。</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2024年财政拨款“三公”经费预算0.29万元，比2023年财政拨款“三公”经费预算减少0.01万元。其中：</w:t>
      </w:r>
    </w:p>
    <w:p>
      <w:pPr>
        <w:numPr>
          <w:ilvl w:val="255"/>
          <w:numId w:val="0"/>
        </w:numPr>
        <w:spacing w:line="560" w:lineRule="exact"/>
        <w:ind w:firstLine="640" w:firstLineChars="200"/>
        <w:rPr>
          <w:rFonts w:ascii="仿宋_GB2312" w:eastAsia="仿宋_GB2312"/>
          <w:sz w:val="32"/>
          <w:szCs w:val="32"/>
        </w:rPr>
      </w:pPr>
      <w:r>
        <w:rPr>
          <w:rFonts w:hint="eastAsia" w:ascii="仿宋_GB2312" w:eastAsia="仿宋_GB2312"/>
          <w:sz w:val="32"/>
          <w:szCs w:val="32"/>
        </w:rPr>
        <w:t>1.因公出国（境）费用。2024年预算数0</w:t>
      </w:r>
      <w:r>
        <w:rPr>
          <w:rFonts w:hint="eastAsia" w:ascii="仿宋_GB2312" w:eastAsia="仿宋_GB2312"/>
          <w:sz w:val="32"/>
          <w:szCs w:val="32"/>
          <w:lang w:val="en-US" w:eastAsia="zh-CN"/>
        </w:rPr>
        <w:t>.00</w:t>
      </w:r>
      <w:r>
        <w:rPr>
          <w:rFonts w:hint="eastAsia" w:ascii="仿宋_GB2312" w:eastAsia="仿宋_GB2312"/>
          <w:sz w:val="32"/>
          <w:szCs w:val="32"/>
        </w:rPr>
        <w:t>万元，与2023年年初预算数持平。</w:t>
      </w:r>
    </w:p>
    <w:p>
      <w:pPr>
        <w:numPr>
          <w:ilvl w:val="255"/>
          <w:numId w:val="0"/>
        </w:numPr>
        <w:spacing w:line="560" w:lineRule="exact"/>
        <w:ind w:firstLine="640" w:firstLineChars="200"/>
        <w:rPr>
          <w:rFonts w:ascii="仿宋_GB2312" w:eastAsia="仿宋_GB2312"/>
          <w:sz w:val="32"/>
          <w:szCs w:val="32"/>
        </w:rPr>
      </w:pPr>
      <w:r>
        <w:rPr>
          <w:rFonts w:hint="eastAsia" w:ascii="仿宋_GB2312" w:eastAsia="仿宋_GB2312"/>
          <w:sz w:val="32"/>
          <w:szCs w:val="32"/>
        </w:rPr>
        <w:t>2.公务接待费。2024年预算数0.29万元，比2023年年初预算数0.30万元减少0.01万元，主要原因：根据</w:t>
      </w:r>
      <w:r>
        <w:rPr>
          <w:rFonts w:hint="eastAsia" w:ascii="宋体" w:hAnsi="宋体" w:eastAsia="宋体" w:cs="宋体"/>
          <w:sz w:val="32"/>
          <w:szCs w:val="32"/>
        </w:rPr>
        <w:t>“</w:t>
      </w:r>
      <w:r>
        <w:rPr>
          <w:rFonts w:hint="eastAsia" w:ascii="仿宋_GB2312" w:eastAsia="仿宋_GB2312"/>
          <w:sz w:val="32"/>
          <w:szCs w:val="32"/>
        </w:rPr>
        <w:t>过紧日子、厉行节约”的预算总体要求，对“三公”经费等一般性支出进行压减。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3.公务用车购置和运行维护费。2024年预算数0</w:t>
      </w:r>
      <w:r>
        <w:rPr>
          <w:rFonts w:hint="eastAsia" w:ascii="仿宋_GB2312" w:eastAsia="仿宋_GB2312"/>
          <w:sz w:val="32"/>
          <w:szCs w:val="32"/>
          <w:lang w:val="en-US" w:eastAsia="zh-CN"/>
        </w:rPr>
        <w:t>.00</w:t>
      </w:r>
      <w:r>
        <w:rPr>
          <w:rFonts w:hint="eastAsia" w:ascii="仿宋_GB2312" w:eastAsia="仿宋_GB2312"/>
          <w:sz w:val="32"/>
          <w:szCs w:val="32"/>
        </w:rPr>
        <w:t>万元，包括：公务用车购置费2024年预算数0</w:t>
      </w:r>
      <w:r>
        <w:rPr>
          <w:rFonts w:hint="eastAsia" w:ascii="仿宋_GB2312" w:eastAsia="仿宋_GB2312"/>
          <w:sz w:val="32"/>
          <w:szCs w:val="32"/>
          <w:lang w:val="en-US" w:eastAsia="zh-CN"/>
        </w:rPr>
        <w:t>.00</w:t>
      </w:r>
      <w:r>
        <w:rPr>
          <w:rFonts w:hint="eastAsia" w:ascii="仿宋_GB2312" w:eastAsia="仿宋_GB2312"/>
          <w:sz w:val="32"/>
          <w:szCs w:val="32"/>
        </w:rPr>
        <w:t>万元，与2023年年初预算数持平；公务用车运行维护费2024年预算数0</w:t>
      </w:r>
      <w:r>
        <w:rPr>
          <w:rFonts w:hint="eastAsia" w:ascii="仿宋_GB2312" w:eastAsia="仿宋_GB2312"/>
          <w:sz w:val="32"/>
          <w:szCs w:val="32"/>
          <w:lang w:val="en-US" w:eastAsia="zh-CN"/>
        </w:rPr>
        <w:t>.00</w:t>
      </w:r>
      <w:r>
        <w:rPr>
          <w:rFonts w:hint="eastAsia" w:ascii="仿宋_GB2312" w:eastAsia="仿宋_GB2312"/>
          <w:sz w:val="32"/>
          <w:szCs w:val="32"/>
        </w:rPr>
        <w:t>万元，与2023年年初预算数持平。</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2024年北京科技创新研究中心政府采购预算总额64.98万元，其中：政府采购货物预算6.69万元，政府采购工程预算0.00万元，政府采购服务预算58.29万元。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本单位不属于</w:t>
      </w:r>
      <w:r>
        <w:rPr>
          <w:rFonts w:hint="eastAsia" w:ascii="仿宋_GB2312" w:eastAsia="仿宋_GB2312"/>
          <w:color w:val="000000"/>
          <w:sz w:val="32"/>
          <w:szCs w:val="32"/>
        </w:rPr>
        <w:t>政府购买服务购买主体。</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2024年，北京科技创新研究中心填报绩效目标的预算项目3个，占本单位本年预算项目3个的100%。填报绩效目标的项目支出预算217.59万元，占本单位本年项目支出预算的100%。</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本单位2024年无重点行政事业性收费。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本单位2024</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截至2023年底，</w:t>
      </w:r>
      <w:r>
        <w:rPr>
          <w:rFonts w:hint="eastAsia" w:ascii="仿宋_GB2312" w:eastAsia="仿宋_GB2312"/>
          <w:sz w:val="32"/>
          <w:szCs w:val="32"/>
        </w:rPr>
        <w:t>北京科技创新研究中心</w:t>
      </w:r>
      <w:r>
        <w:rPr>
          <w:rFonts w:hint="eastAsia" w:ascii="仿宋_GB2312" w:eastAsia="仿宋_GB2312"/>
          <w:color w:val="000000"/>
          <w:sz w:val="32"/>
          <w:szCs w:val="32"/>
        </w:rPr>
        <w:t>共有车辆0台，共计0</w:t>
      </w:r>
      <w:r>
        <w:rPr>
          <w:rFonts w:hint="eastAsia" w:ascii="仿宋_GB2312" w:eastAsia="仿宋_GB2312"/>
          <w:color w:val="000000"/>
          <w:sz w:val="32"/>
          <w:szCs w:val="32"/>
          <w:lang w:val="en-US" w:eastAsia="zh-CN"/>
        </w:rPr>
        <w:t>.00</w:t>
      </w:r>
      <w:r>
        <w:rPr>
          <w:rFonts w:hint="eastAsia" w:ascii="仿宋_GB2312" w:eastAsia="仿宋_GB2312"/>
          <w:color w:val="000000"/>
          <w:sz w:val="32"/>
          <w:szCs w:val="32"/>
        </w:rPr>
        <w:t>万元；单位价值50万元以上的设备0台（套）、共计0</w:t>
      </w:r>
      <w:r>
        <w:rPr>
          <w:rFonts w:hint="eastAsia" w:ascii="仿宋_GB2312" w:eastAsia="仿宋_GB2312"/>
          <w:color w:val="000000"/>
          <w:sz w:val="32"/>
          <w:szCs w:val="32"/>
          <w:lang w:val="en-US" w:eastAsia="zh-CN"/>
        </w:rPr>
        <w:t>.00</w:t>
      </w:r>
      <w:r>
        <w:rPr>
          <w:rFonts w:hint="eastAsia" w:ascii="仿宋_GB2312" w:eastAsia="仿宋_GB2312"/>
          <w:color w:val="000000"/>
          <w:sz w:val="32"/>
          <w:szCs w:val="32"/>
        </w:rPr>
        <w:t>万元。2024年预算安排中，购置单位价值50万元以上的设备0台（套），共计0</w:t>
      </w:r>
      <w:r>
        <w:rPr>
          <w:rFonts w:hint="eastAsia" w:ascii="仿宋_GB2312" w:eastAsia="仿宋_GB2312"/>
          <w:color w:val="000000"/>
          <w:sz w:val="32"/>
          <w:szCs w:val="32"/>
          <w:lang w:val="en-US" w:eastAsia="zh-CN"/>
        </w:rPr>
        <w:t>.00</w:t>
      </w:r>
      <w:r>
        <w:rPr>
          <w:rFonts w:hint="eastAsia" w:ascii="仿宋_GB2312" w:eastAsia="仿宋_GB2312"/>
          <w:color w:val="000000"/>
          <w:sz w:val="32"/>
          <w:szCs w:val="32"/>
        </w:rPr>
        <w:t>万元。</w:t>
      </w:r>
    </w:p>
    <w:p>
      <w:pPr>
        <w:numPr>
          <w:ilvl w:val="0"/>
          <w:numId w:val="3"/>
        </w:numPr>
        <w:spacing w:line="560" w:lineRule="exact"/>
        <w:ind w:firstLine="640" w:firstLineChars="200"/>
        <w:rPr>
          <w:rFonts w:ascii="黑体" w:eastAsia="黑体"/>
          <w:color w:val="000000"/>
          <w:sz w:val="32"/>
          <w:szCs w:val="32"/>
        </w:rPr>
      </w:pP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“三公”经费财政拨款预算数：指本单位当年单位预算安排中财政拨款安排的因公出国（境）费用、公务接待费、公务用车购置和运行维护费预算数。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2024年度单位预算报表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附件：北京科技创新研究中心2024年度单位预算报表</w:t>
      </w:r>
      <w:r>
        <w:rPr>
          <w:rFonts w:hint="eastAsia" w:ascii="仿宋_GB2312" w:eastAsia="仿宋_GB2312" w:cs="宋体"/>
          <w:color w:val="000000"/>
          <w:kern w:val="0"/>
          <w:sz w:val="32"/>
          <w:szCs w:val="32"/>
          <w:lang w:val="zh-CN"/>
        </w:rPr>
        <w:t xml:space="preserve"> </w:t>
      </w:r>
    </w:p>
    <w:p>
      <w:pPr>
        <w:spacing w:line="560" w:lineRule="exact"/>
        <w:rPr>
          <w:rFonts w:ascii="仿宋_GB2312" w:eastAsia="仿宋_GB2312"/>
          <w:color w:val="000000"/>
          <w:sz w:val="32"/>
          <w:szCs w:val="32"/>
        </w:rPr>
      </w:pPr>
    </w:p>
    <w:p>
      <w:pPr>
        <w:rPr>
          <w:rFonts w:ascii="仿宋_GB2312" w:eastAsia="仿宋_GB2312"/>
          <w:sz w:val="32"/>
          <w:szCs w:val="32"/>
        </w:rPr>
      </w:pPr>
      <w:bookmarkStart w:id="0" w:name="chaosong"/>
      <w:bookmarkEnd w:id="0"/>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Droid Sans">
    <w:altName w:val="宋体"/>
    <w:panose1 w:val="00000000000000000000"/>
    <w:charset w:val="00"/>
    <w:family w:val="auto"/>
    <w:pitch w:val="default"/>
    <w:sig w:usb0="00000000" w:usb1="00000000" w:usb2="00000000"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Noto Sans Syriac Eastern">
    <w:panose1 w:val="02040503050306020203"/>
    <w:charset w:val="86"/>
    <w:family w:val="auto"/>
    <w:pitch w:val="default"/>
    <w:sig w:usb0="00000000" w:usb1="00000000" w:usb2="00000080" w:usb3="00000000" w:csb0="203E0161" w:csb1="D7FF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34035" cy="230505"/>
              <wp:effectExtent l="0" t="0" r="0" b="0"/>
              <wp:wrapNone/>
              <wp:docPr id="7" name="文本框 7"/>
              <wp:cNvGraphicFramePr/>
              <a:graphic xmlns:a="http://schemas.openxmlformats.org/drawingml/2006/main">
                <a:graphicData uri="http://schemas.microsoft.com/office/word/2010/wordprocessingShape">
                  <wps:wsp>
                    <wps:cNvSpPr txBox="true">
                      <a:spLocks noChangeArrowheads="true"/>
                    </wps:cNvSpPr>
                    <wps:spPr bwMode="auto">
                      <a:xfrm>
                        <a:off x="0" y="0"/>
                        <a:ext cx="534035" cy="230505"/>
                      </a:xfrm>
                      <a:prstGeom prst="rect">
                        <a:avLst/>
                      </a:prstGeom>
                      <a:noFill/>
                      <a:ln>
                        <a:noFill/>
                      </a:ln>
                    </wps:spPr>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wps:txbx>
                    <wps:bodyPr rot="0" vert="horz" wrap="none" lIns="0" tIns="0" rIns="0" bIns="0" anchor="t" anchorCtr="false" upright="true">
                      <a:spAutoFit/>
                    </wps:bodyPr>
                  </wps:wsp>
                </a:graphicData>
              </a:graphic>
            </wp:anchor>
          </w:drawing>
        </mc:Choice>
        <mc:Fallback>
          <w:pict>
            <v:shape id="_x0000_s1026" o:spid="_x0000_s1026" o:spt="202" type="#_x0000_t202" style="position:absolute;left:0pt;margin-top:0pt;height:18.15pt;width:42.05pt;mso-position-horizontal:outside;mso-position-horizontal-relative:margin;mso-wrap-style:none;z-index:251659264;mso-width-relative:page;mso-height-relative:page;" filled="f" stroked="f" coordsize="21600,21600" o:gfxdata="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&#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PD2TH3RAAAAAwEAAA8AAAAAAAAAAQAgAAAAOAAAAGRy&#10;cy9kb3ducmV2LnhtbFBLAQIUABQAAAAIAIdO4kCHE7Bq9gEAAMEDAAAOAAAAAAAAAAEAIAAAADYB&#10;AABkcnMvZTJvRG9jLnhtbFBLBQYAAAAABgAGAFkBAACeBQAAAAA=&#10;">
              <v:fill on="f" focussize="0,0"/>
              <v:stroke on="f"/>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v:textbox>
            </v:shape>
          </w:pict>
        </mc:Fallback>
      </mc:AlternateContent>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FC93CE"/>
    <w:multiLevelType w:val="singleLevel"/>
    <w:tmpl w:val="F7FC93CE"/>
    <w:lvl w:ilvl="0" w:tentative="0">
      <w:start w:val="2"/>
      <w:numFmt w:val="chineseCounting"/>
      <w:suff w:val="nothing"/>
      <w:lvlText w:val="（%1）"/>
      <w:lvlJc w:val="left"/>
      <w:rPr>
        <w:rFonts w:hint="eastAsia"/>
      </w:rPr>
    </w:lvl>
  </w:abstractNum>
  <w:abstractNum w:abstractNumId="1">
    <w:nsid w:val="FBDFFF5A"/>
    <w:multiLevelType w:val="singleLevel"/>
    <w:tmpl w:val="FBDFFF5A"/>
    <w:lvl w:ilvl="0" w:tentative="0">
      <w:start w:val="6"/>
      <w:numFmt w:val="chineseCounting"/>
      <w:suff w:val="nothing"/>
      <w:lvlText w:val="%1、"/>
      <w:lvlJc w:val="left"/>
      <w:rPr>
        <w:rFonts w:hint="eastAsia"/>
      </w:rPr>
    </w:lvl>
  </w:abstractNum>
  <w:abstractNum w:abstractNumId="2">
    <w:nsid w:val="FF2E9D19"/>
    <w:multiLevelType w:val="singleLevel"/>
    <w:tmpl w:val="FF2E9D19"/>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revisionView w:markup="0"/>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ZlNDJlNzJlYmE4ODExOTVkYTJkOGVmMzlhOWNhNmUifQ=="/>
  </w:docVars>
  <w:rsids>
    <w:rsidRoot w:val="00A45FD1"/>
    <w:rsid w:val="00026B40"/>
    <w:rsid w:val="00176374"/>
    <w:rsid w:val="001A46DB"/>
    <w:rsid w:val="00244F7F"/>
    <w:rsid w:val="003169D6"/>
    <w:rsid w:val="003E5431"/>
    <w:rsid w:val="00420DC4"/>
    <w:rsid w:val="004E0B94"/>
    <w:rsid w:val="005B2A7F"/>
    <w:rsid w:val="00693F54"/>
    <w:rsid w:val="00760E04"/>
    <w:rsid w:val="008E3A5D"/>
    <w:rsid w:val="0091158C"/>
    <w:rsid w:val="00A25A05"/>
    <w:rsid w:val="00A45FD1"/>
    <w:rsid w:val="00CB4B5B"/>
    <w:rsid w:val="00D54ACD"/>
    <w:rsid w:val="00D75277"/>
    <w:rsid w:val="00DD3F19"/>
    <w:rsid w:val="00EB5692"/>
    <w:rsid w:val="00F1515F"/>
    <w:rsid w:val="00F4431E"/>
    <w:rsid w:val="00FA6A84"/>
    <w:rsid w:val="07BFB9AE"/>
    <w:rsid w:val="15687C03"/>
    <w:rsid w:val="17D8C90E"/>
    <w:rsid w:val="1FA33EAB"/>
    <w:rsid w:val="2CDFCD95"/>
    <w:rsid w:val="2FFD6F47"/>
    <w:rsid w:val="3BFA6A34"/>
    <w:rsid w:val="3FE6A9D3"/>
    <w:rsid w:val="3FEB5E96"/>
    <w:rsid w:val="41FE1120"/>
    <w:rsid w:val="4E676947"/>
    <w:rsid w:val="57EE4B0F"/>
    <w:rsid w:val="59DF0F4E"/>
    <w:rsid w:val="5F775B90"/>
    <w:rsid w:val="6FAAFC19"/>
    <w:rsid w:val="75868D02"/>
    <w:rsid w:val="7BBF28A4"/>
    <w:rsid w:val="7BFCE2E0"/>
    <w:rsid w:val="7DF96810"/>
    <w:rsid w:val="7DFDF625"/>
    <w:rsid w:val="7EABEB30"/>
    <w:rsid w:val="7EC1D658"/>
    <w:rsid w:val="7EEE70EB"/>
    <w:rsid w:val="7F7FC997"/>
    <w:rsid w:val="7F966EA7"/>
    <w:rsid w:val="7FCFF7EE"/>
    <w:rsid w:val="7FEF6718"/>
    <w:rsid w:val="B7FF49D5"/>
    <w:rsid w:val="BFD27D95"/>
    <w:rsid w:val="BFFB05DF"/>
    <w:rsid w:val="DEFEC7CC"/>
    <w:rsid w:val="E7FC5D60"/>
    <w:rsid w:val="E9FE68D7"/>
    <w:rsid w:val="EDFF0AA7"/>
    <w:rsid w:val="EF37BBA0"/>
    <w:rsid w:val="FFED0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0"/>
    <w:qFormat/>
    <w:uiPriority w:val="99"/>
    <w:pPr>
      <w:tabs>
        <w:tab w:val="center" w:pos="4153"/>
        <w:tab w:val="right" w:pos="8306"/>
      </w:tabs>
      <w:snapToGrid w:val="0"/>
      <w:jc w:val="left"/>
    </w:pPr>
    <w:rPr>
      <w:rFonts w:ascii="Times New Roman" w:hAnsi="Times New Roman" w:eastAsia="宋体" w:cs="Droid Sans"/>
      <w:sz w:val="18"/>
      <w:szCs w:val="20"/>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nhideWhenUsed/>
    <w:qFormat/>
    <w:uiPriority w:val="99"/>
    <w:rPr>
      <w:sz w:val="21"/>
      <w:szCs w:val="21"/>
    </w:rPr>
  </w:style>
  <w:style w:type="character" w:customStyle="1" w:styleId="9">
    <w:name w:val="标题 2 Char"/>
    <w:basedOn w:val="7"/>
    <w:link w:val="2"/>
    <w:qFormat/>
    <w:uiPriority w:val="0"/>
    <w:rPr>
      <w:rFonts w:ascii="Cambria" w:hAnsi="Cambria" w:eastAsia="黑体" w:cs="Times New Roman"/>
      <w:b/>
      <w:bCs/>
      <w:kern w:val="0"/>
      <w:sz w:val="36"/>
      <w:szCs w:val="32"/>
    </w:rPr>
  </w:style>
  <w:style w:type="character" w:customStyle="1" w:styleId="10">
    <w:name w:val="页脚 Char"/>
    <w:basedOn w:val="7"/>
    <w:link w:val="4"/>
    <w:qFormat/>
    <w:uiPriority w:val="99"/>
    <w:rPr>
      <w:rFonts w:ascii="Times New Roman" w:hAnsi="Times New Roman" w:eastAsia="宋体" w:cs="Droid Sans"/>
      <w:sz w:val="18"/>
      <w:szCs w:val="20"/>
    </w:rPr>
  </w:style>
  <w:style w:type="character" w:customStyle="1" w:styleId="11">
    <w:name w:val="页眉 Char"/>
    <w:basedOn w:val="7"/>
    <w:link w:val="5"/>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true"/>
          <a:lstStyle/>
          <a:p>
            <a:pPr>
              <a:defRPr lang="zh-CN" sz="1800" b="0" i="0" u="none" strike="noStrike" kern="1200" baseline="0">
                <a:solidFill>
                  <a:schemeClr val="tx1"/>
                </a:solidFill>
                <a:latin typeface="+mn-lt"/>
                <a:ea typeface="+mn-ea"/>
                <a:cs typeface="+mn-cs"/>
              </a:defRPr>
            </a:pPr>
            <a:r>
              <a:rPr lang="zh-CN" altLang="en-US" sz="1800" b="0"/>
              <a:t>收入预算</a:t>
            </a:r>
            <a:endParaRPr lang="zh-CN" altLang="en-US" sz="1800" b="0"/>
          </a:p>
        </c:rich>
      </c:tx>
      <c:layout>
        <c:manualLayout>
          <c:xMode val="edge"/>
          <c:yMode val="edge"/>
          <c:x val="0.408407297830375"/>
          <c:y val="0.04"/>
        </c:manualLayout>
      </c:layout>
      <c:overlay val="false"/>
    </c:title>
    <c:autoTitleDeleted val="false"/>
    <c:plotArea>
      <c:layout/>
      <c:pieChart>
        <c:varyColors val="true"/>
        <c:ser>
          <c:idx val="0"/>
          <c:order val="0"/>
          <c:explosion val="0"/>
          <c:dPt>
            <c:idx val="0"/>
            <c:bubble3D val="false"/>
            <c:spPr>
              <a:gradFill>
                <a:gsLst>
                  <a:gs pos="100000">
                    <a:schemeClr val="accent1">
                      <a:lumMod val="60000"/>
                      <a:lumOff val="40000"/>
                    </a:schemeClr>
                  </a:gs>
                  <a:gs pos="0">
                    <a:schemeClr val="accent1"/>
                  </a:gs>
                </a:gsLst>
                <a:lin ang="5400000" scaled="false"/>
              </a:gradFill>
              <a:ln w="19069">
                <a:solidFill>
                  <a:schemeClr val="lt1"/>
                </a:solidFill>
              </a:ln>
              <a:effectLst/>
            </c:spPr>
          </c:dPt>
          <c:dLbls>
            <c:numFmt formatCode="0.00%" sourceLinked="false"/>
            <c:spPr>
              <a:noFill/>
              <a:ln w="25426">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dk1">
                        <a:lumMod val="75000"/>
                        <a:lumOff val="25000"/>
                      </a:schemeClr>
                    </a:solidFill>
                    <a:latin typeface="+mn-lt"/>
                    <a:ea typeface="+mn-ea"/>
                    <a:cs typeface="+mn-cs"/>
                  </a:defRPr>
                </a:pPr>
              </a:p>
            </c:txPr>
            <c:dLblPos val="ctr"/>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35" cap="flat" cmpd="sng" algn="ctr">
                      <a:solidFill>
                        <a:schemeClr val="dk1">
                          <a:lumMod val="35000"/>
                          <a:lumOff val="65000"/>
                        </a:schemeClr>
                      </a:solidFill>
                      <a:prstDash val="solid"/>
                      <a:round/>
                    </a:ln>
                    <a:effectLst/>
                  </c:spPr>
                </c15:leaderLines>
              </c:ext>
            </c:extLst>
          </c:dLbls>
          <c:cat>
            <c:strRef>
              <c:f>Sheet1!$A$2:$A$2</c:f>
              <c:strCache>
                <c:ptCount val="1"/>
                <c:pt idx="0">
                  <c:v>一般公共预算拨款收入</c:v>
                </c:pt>
              </c:strCache>
            </c:strRef>
          </c:cat>
          <c:val>
            <c:numRef>
              <c:f>Sheet1!$B$2:$B$2</c:f>
              <c:numCache>
                <c:formatCode>#,##0.00</c:formatCode>
                <c:ptCount val="1"/>
                <c:pt idx="0">
                  <c:v>2182.14</c:v>
                </c:pt>
              </c:numCache>
            </c:numRef>
          </c:val>
        </c:ser>
        <c:dLbls>
          <c:showLegendKey val="false"/>
          <c:showVal val="false"/>
          <c:showCatName val="false"/>
          <c:showSerName val="false"/>
          <c:showPercent val="false"/>
          <c:showBubbleSize val="false"/>
          <c:showLeaderLines val="true"/>
        </c:dLbls>
        <c:firstSliceAng val="0"/>
      </c:pieChart>
      <c:spPr>
        <a:noFill/>
        <a:ln w="25426">
          <a:noFill/>
        </a:ln>
      </c:spPr>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spPr>
    <a:solidFill>
      <a:srgbClr val="44546A">
        <a:lumMod val="20000"/>
        <a:lumOff val="80000"/>
      </a:srgbClr>
    </a:solidFill>
    <a:ln w="9535" cap="flat" cmpd="sng" algn="ctr">
      <a:solidFill>
        <a:schemeClr val="dk1">
          <a:lumMod val="15000"/>
          <a:lumOff val="85000"/>
        </a:schemeClr>
      </a:solidFill>
      <a:prstDash val="solid"/>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800" b="0" i="0" u="none" strike="noStrike" kern="1200" spc="0" baseline="0">
                <a:solidFill>
                  <a:schemeClr val="tx1">
                    <a:lumMod val="65000"/>
                    <a:lumOff val="35000"/>
                  </a:schemeClr>
                </a:solidFill>
                <a:latin typeface="+mn-lt"/>
                <a:ea typeface="+mn-ea"/>
                <a:cs typeface="+mn-cs"/>
              </a:defRPr>
            </a:pPr>
            <a:r>
              <a:rPr lang="zh-CN" altLang="en-US" sz="1800" b="1"/>
              <a:t>基本支出和项目支出情况</a:t>
            </a:r>
            <a:endParaRPr lang="zh-CN" altLang="en-US" sz="1800" b="1"/>
          </a:p>
        </c:rich>
      </c:tx>
      <c:layout/>
      <c:overlay val="false"/>
      <c:spPr>
        <a:noFill/>
        <a:ln>
          <a:noFill/>
        </a:ln>
        <a:effectLst/>
      </c:spPr>
    </c:title>
    <c:autoTitleDeleted val="false"/>
    <c:plotArea>
      <c:layout/>
      <c:pieChart>
        <c:varyColors val="true"/>
        <c:ser>
          <c:idx val="0"/>
          <c:order val="0"/>
          <c:tx>
            <c:strRef>
              <c:f>Sheet1!$B$1</c:f>
              <c:strCache>
                <c:ptCount val="1"/>
                <c:pt idx="0">
                  <c:v>基本支出和项目支出情况</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Lbls>
            <c:numFmt formatCode="0.00%" sourceLinked="false"/>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1964.55</c:v>
                </c:pt>
                <c:pt idx="1">
                  <c:v>217.59</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t"/>
      <c:layout/>
      <c:overlay val="false"/>
      <c:spPr>
        <a:noFill/>
        <a:ln>
          <a:noFill/>
        </a:ln>
        <a:effectLst/>
      </c:spPr>
      <c:txPr>
        <a:bodyPr rot="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tx2">
        <a:lumMod val="20000"/>
        <a:lumOff val="80000"/>
      </a:schemeClr>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369</Words>
  <Characters>2105</Characters>
  <Lines>17</Lines>
  <Paragraphs>4</Paragraphs>
  <TotalTime>119</TotalTime>
  <ScaleCrop>false</ScaleCrop>
  <LinksUpToDate>false</LinksUpToDate>
  <CharactersWithSpaces>2470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2024-02-25T09:10:00Z</dcterms:created>
  <dc:creator>admin</dc:creator>
  <cp:lastModifiedBy>user</cp:lastModifiedBy>
  <cp:lastPrinted>2024-03-02T10:22:00Z</cp:lastPrinted>
  <dcterms:modified xsi:type="dcterms:W3CDTF">2024-03-11T09:31:54Z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0C3C99ECC1C544E18843456875BABD47_12</vt:lpwstr>
  </property>
</Properties>
</file>