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50DE90">
      <w:pPr>
        <w:spacing w:line="560" w:lineRule="exact"/>
        <w:jc w:val="center"/>
        <w:rPr>
          <w:rFonts w:hint="eastAsia" w:ascii="黑体" w:hAnsi="黑体" w:eastAsia="黑体"/>
          <w:b/>
          <w:sz w:val="24"/>
          <w:szCs w:val="24"/>
        </w:rPr>
      </w:pPr>
    </w:p>
    <w:p w14:paraId="78771E57">
      <w:pPr>
        <w:spacing w:line="560" w:lineRule="exact"/>
        <w:jc w:val="center"/>
        <w:rPr>
          <w:rFonts w:hint="eastAsia" w:ascii="黑体" w:hAnsi="黑体" w:eastAsia="黑体"/>
          <w:b/>
          <w:sz w:val="24"/>
          <w:szCs w:val="24"/>
        </w:rPr>
      </w:pPr>
    </w:p>
    <w:p w14:paraId="0CD3DC41">
      <w:pPr>
        <w:adjustRightInd w:val="0"/>
        <w:snapToGrid w:val="0"/>
        <w:spacing w:line="600" w:lineRule="exact"/>
        <w:jc w:val="center"/>
        <w:rPr>
          <w:rFonts w:hint="eastAsia" w:ascii="黑体" w:hAnsi="黑体" w:eastAsia="黑体"/>
          <w:sz w:val="44"/>
          <w:szCs w:val="44"/>
          <w:lang w:val="zh-CN"/>
        </w:rPr>
      </w:pPr>
    </w:p>
    <w:p w14:paraId="36B56BC7">
      <w:pPr>
        <w:adjustRightInd w:val="0"/>
        <w:snapToGrid w:val="0"/>
        <w:spacing w:line="360" w:lineRule="auto"/>
        <w:jc w:val="center"/>
        <w:rPr>
          <w:rFonts w:hint="eastAsia" w:ascii="黑体" w:hAnsi="黑体" w:eastAsia="黑体" w:cs="黑体"/>
          <w:bCs/>
          <w:sz w:val="72"/>
          <w:szCs w:val="72"/>
        </w:rPr>
      </w:pPr>
      <w:r>
        <w:rPr>
          <w:rFonts w:hint="eastAsia" w:ascii="黑体" w:hAnsi="黑体" w:eastAsia="黑体" w:cs="黑体"/>
          <w:bCs/>
          <w:sz w:val="72"/>
          <w:szCs w:val="72"/>
        </w:rPr>
        <w:t>2023年部门整体绩效</w:t>
      </w:r>
    </w:p>
    <w:p w14:paraId="68F473AD">
      <w:pPr>
        <w:adjustRightInd w:val="0"/>
        <w:snapToGrid w:val="0"/>
        <w:spacing w:line="360" w:lineRule="auto"/>
        <w:jc w:val="center"/>
        <w:rPr>
          <w:rFonts w:hint="eastAsia" w:ascii="黑体" w:hAnsi="黑体" w:eastAsia="黑体" w:cs="黑体"/>
          <w:bCs/>
          <w:sz w:val="72"/>
          <w:szCs w:val="72"/>
        </w:rPr>
      </w:pPr>
      <w:r>
        <w:rPr>
          <w:rFonts w:hint="eastAsia" w:ascii="黑体" w:hAnsi="黑体" w:eastAsia="黑体" w:cs="黑体"/>
          <w:bCs/>
          <w:sz w:val="72"/>
          <w:szCs w:val="72"/>
        </w:rPr>
        <w:t>评价报告</w:t>
      </w:r>
    </w:p>
    <w:p w14:paraId="0506B182">
      <w:pPr>
        <w:spacing w:line="560" w:lineRule="exact"/>
        <w:jc w:val="center"/>
        <w:rPr>
          <w:rFonts w:hint="eastAsia" w:ascii="黑体" w:hAnsi="黑体" w:eastAsia="黑体"/>
          <w:b/>
          <w:sz w:val="72"/>
          <w:szCs w:val="72"/>
        </w:rPr>
      </w:pPr>
    </w:p>
    <w:p w14:paraId="6CD46CCA">
      <w:pPr>
        <w:adjustRightInd w:val="0"/>
        <w:snapToGrid w:val="0"/>
        <w:spacing w:line="560" w:lineRule="exact"/>
        <w:jc w:val="center"/>
        <w:rPr>
          <w:rFonts w:hint="eastAsia" w:ascii="黑体" w:hAnsi="黑体" w:eastAsia="黑体"/>
          <w:sz w:val="30"/>
          <w:szCs w:val="30"/>
          <w:lang w:val="zh-CN"/>
        </w:rPr>
      </w:pPr>
    </w:p>
    <w:p w14:paraId="2C5E73CD">
      <w:pPr>
        <w:spacing w:line="560" w:lineRule="exact"/>
        <w:jc w:val="left"/>
        <w:rPr>
          <w:rFonts w:hint="eastAsia" w:ascii="黑体" w:hAnsi="黑体" w:eastAsia="黑体"/>
          <w:sz w:val="30"/>
          <w:szCs w:val="30"/>
          <w:lang w:val="zh-CN"/>
        </w:rPr>
      </w:pPr>
    </w:p>
    <w:p w14:paraId="3E8D4109">
      <w:pPr>
        <w:spacing w:line="560" w:lineRule="exact"/>
        <w:jc w:val="left"/>
        <w:rPr>
          <w:rFonts w:hint="eastAsia" w:ascii="黑体" w:hAnsi="黑体" w:eastAsia="黑体"/>
          <w:sz w:val="30"/>
          <w:szCs w:val="30"/>
          <w:lang w:val="zh-CN"/>
        </w:rPr>
      </w:pPr>
    </w:p>
    <w:p w14:paraId="4C04CDA3">
      <w:pPr>
        <w:spacing w:line="560" w:lineRule="exact"/>
        <w:jc w:val="left"/>
        <w:rPr>
          <w:rFonts w:hint="eastAsia" w:ascii="黑体" w:hAnsi="黑体" w:eastAsia="黑体"/>
          <w:sz w:val="30"/>
          <w:szCs w:val="30"/>
          <w:lang w:val="zh-CN"/>
        </w:rPr>
      </w:pPr>
    </w:p>
    <w:p w14:paraId="6F51B81C">
      <w:pPr>
        <w:spacing w:line="560" w:lineRule="exact"/>
        <w:jc w:val="left"/>
        <w:rPr>
          <w:rFonts w:hint="eastAsia" w:ascii="黑体" w:hAnsi="黑体" w:eastAsia="黑体"/>
          <w:sz w:val="30"/>
          <w:szCs w:val="30"/>
          <w:lang w:val="zh-CN"/>
        </w:rPr>
      </w:pPr>
    </w:p>
    <w:p w14:paraId="2D10F878">
      <w:pPr>
        <w:spacing w:line="560" w:lineRule="exact"/>
        <w:jc w:val="left"/>
        <w:rPr>
          <w:rFonts w:hint="eastAsia" w:ascii="黑体" w:hAnsi="黑体" w:eastAsia="黑体"/>
          <w:sz w:val="30"/>
          <w:szCs w:val="30"/>
          <w:lang w:val="zh-CN"/>
        </w:rPr>
      </w:pPr>
    </w:p>
    <w:p w14:paraId="7F18D574">
      <w:pPr>
        <w:spacing w:line="560" w:lineRule="exact"/>
        <w:jc w:val="left"/>
        <w:rPr>
          <w:rFonts w:hint="eastAsia" w:ascii="黑体" w:hAnsi="黑体" w:eastAsia="黑体"/>
          <w:sz w:val="30"/>
          <w:szCs w:val="30"/>
          <w:lang w:val="zh-CN"/>
        </w:rPr>
      </w:pPr>
    </w:p>
    <w:p w14:paraId="76C1B661">
      <w:pPr>
        <w:pStyle w:val="9"/>
        <w:spacing w:line="560" w:lineRule="exact"/>
        <w:rPr>
          <w:lang w:val="zh-CN"/>
        </w:rPr>
      </w:pPr>
    </w:p>
    <w:p w14:paraId="007E8F2B">
      <w:pPr>
        <w:spacing w:line="560" w:lineRule="exact"/>
        <w:jc w:val="left"/>
        <w:rPr>
          <w:rFonts w:hint="eastAsia" w:ascii="黑体" w:hAnsi="黑体" w:eastAsia="黑体"/>
          <w:sz w:val="30"/>
          <w:szCs w:val="30"/>
          <w:lang w:val="zh-CN"/>
        </w:rPr>
      </w:pPr>
    </w:p>
    <w:p w14:paraId="124715B4">
      <w:pPr>
        <w:spacing w:line="560" w:lineRule="exact"/>
        <w:jc w:val="left"/>
        <w:rPr>
          <w:rFonts w:hint="eastAsia" w:ascii="黑体" w:hAnsi="黑体" w:eastAsia="黑体"/>
          <w:sz w:val="30"/>
          <w:szCs w:val="30"/>
          <w:lang w:val="zh-CN"/>
        </w:rPr>
      </w:pPr>
    </w:p>
    <w:p w14:paraId="4C184CE5">
      <w:pPr>
        <w:spacing w:line="560" w:lineRule="exact"/>
        <w:jc w:val="left"/>
        <w:rPr>
          <w:rFonts w:hint="eastAsia" w:ascii="黑体" w:hAnsi="黑体" w:eastAsia="黑体"/>
          <w:sz w:val="30"/>
          <w:szCs w:val="30"/>
          <w:lang w:val="zh-CN"/>
        </w:rPr>
      </w:pPr>
    </w:p>
    <w:p w14:paraId="5B4ABC80">
      <w:pPr>
        <w:spacing w:line="560" w:lineRule="exact"/>
        <w:jc w:val="center"/>
        <w:rPr>
          <w:rFonts w:hint="eastAsia" w:ascii="楷体" w:hAnsi="楷体" w:eastAsia="楷体" w:cs="楷体"/>
          <w:b/>
          <w:sz w:val="44"/>
          <w:szCs w:val="44"/>
        </w:rPr>
      </w:pPr>
    </w:p>
    <w:p w14:paraId="5D2E71C9">
      <w:pPr>
        <w:pStyle w:val="9"/>
        <w:spacing w:line="560" w:lineRule="exact"/>
      </w:pPr>
    </w:p>
    <w:p w14:paraId="59D00C73">
      <w:pPr>
        <w:spacing w:line="560" w:lineRule="exact"/>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val="zh-CN"/>
        </w:rPr>
        <w:t>北京市</w:t>
      </w:r>
      <w:r>
        <w:rPr>
          <w:rFonts w:hint="eastAsia" w:ascii="楷体_GB2312" w:hAnsi="楷体_GB2312" w:eastAsia="楷体_GB2312" w:cs="楷体_GB2312"/>
          <w:sz w:val="32"/>
          <w:szCs w:val="32"/>
        </w:rPr>
        <w:t>科学技术委员会</w:t>
      </w:r>
    </w:p>
    <w:p w14:paraId="1D7A8F37">
      <w:pPr>
        <w:spacing w:line="560" w:lineRule="exact"/>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2024年5月</w:t>
      </w:r>
    </w:p>
    <w:p w14:paraId="604196D0">
      <w:pPr>
        <w:adjustRightInd w:val="0"/>
        <w:snapToGrid w:val="0"/>
        <w:spacing w:line="560" w:lineRule="exact"/>
        <w:rPr>
          <w:rFonts w:hint="eastAsia" w:ascii="仿宋" w:hAnsi="仿宋" w:eastAsia="仿宋" w:cs="仿宋"/>
          <w:sz w:val="30"/>
          <w:szCs w:val="30"/>
        </w:rPr>
        <w:sectPr>
          <w:headerReference r:id="rId3" w:type="default"/>
          <w:pgSz w:w="11906" w:h="16838"/>
          <w:pgMar w:top="1440" w:right="1800" w:bottom="1440" w:left="1800" w:header="851" w:footer="992" w:gutter="0"/>
          <w:cols w:space="720" w:num="1"/>
          <w:docGrid w:type="lines" w:linePitch="312" w:charSpace="0"/>
        </w:sectPr>
      </w:pPr>
    </w:p>
    <w:p w14:paraId="210A8685">
      <w:pPr>
        <w:pStyle w:val="11"/>
        <w:spacing w:line="560" w:lineRule="exact"/>
        <w:rPr>
          <w:rFonts w:hint="eastAsia"/>
          <w:sz w:val="36"/>
          <w:szCs w:val="36"/>
        </w:rPr>
        <w:sectPr>
          <w:footerReference r:id="rId4" w:type="default"/>
          <w:footnotePr>
            <w:numFmt w:val="decimalEnclosedCircleChinese"/>
          </w:footnotePr>
          <w:type w:val="continuous"/>
          <w:pgSz w:w="11906" w:h="16838"/>
          <w:pgMar w:top="1440" w:right="1416" w:bottom="1440" w:left="1800" w:header="851" w:footer="992" w:gutter="0"/>
          <w:cols w:space="720" w:num="1"/>
          <w:docGrid w:type="lines" w:linePitch="312" w:charSpace="0"/>
        </w:sectPr>
      </w:pPr>
    </w:p>
    <w:p w14:paraId="364EA3C8">
      <w:pPr>
        <w:pStyle w:val="11"/>
        <w:spacing w:line="560" w:lineRule="exact"/>
        <w:ind w:left="0" w:leftChars="0"/>
        <w:rPr>
          <w:rFonts w:hint="eastAsia"/>
          <w:sz w:val="36"/>
          <w:szCs w:val="36"/>
        </w:rPr>
      </w:pPr>
      <w:r>
        <w:rPr>
          <w:rFonts w:hint="eastAsia"/>
          <w:sz w:val="36"/>
          <w:szCs w:val="36"/>
        </w:rPr>
        <w:t>目  录</w:t>
      </w:r>
    </w:p>
    <w:p w14:paraId="01EE0873">
      <w:pPr>
        <w:pStyle w:val="11"/>
        <w:tabs>
          <w:tab w:val="right" w:leader="dot" w:pos="8690"/>
          <w:tab w:val="clear" w:pos="8680"/>
        </w:tabs>
        <w:spacing w:line="560" w:lineRule="exact"/>
        <w:rPr>
          <w:rFonts w:hint="eastAsia"/>
        </w:rPr>
      </w:pPr>
      <w:r>
        <w:rPr>
          <w:rFonts w:hint="eastAsia" w:ascii="仿宋" w:hAnsi="仿宋" w:eastAsia="仿宋" w:cs="仿宋"/>
        </w:rPr>
        <w:fldChar w:fldCharType="begin"/>
      </w:r>
      <w:r>
        <w:rPr>
          <w:rFonts w:hint="eastAsia" w:ascii="仿宋" w:hAnsi="仿宋" w:eastAsia="仿宋" w:cs="仿宋"/>
        </w:rPr>
        <w:instrText xml:space="preserve"> TOC \o "1-2" \h \z \u </w:instrText>
      </w:r>
      <w:r>
        <w:rPr>
          <w:rFonts w:hint="eastAsia" w:ascii="仿宋" w:hAnsi="仿宋" w:eastAsia="仿宋" w:cs="仿宋"/>
        </w:rPr>
        <w:fldChar w:fldCharType="separate"/>
      </w:r>
      <w:r>
        <w:fldChar w:fldCharType="begin"/>
      </w:r>
      <w:r>
        <w:instrText xml:space="preserve"> HYPERLINK \l "_Toc14188" </w:instrText>
      </w:r>
      <w:r>
        <w:fldChar w:fldCharType="separate"/>
      </w:r>
      <w:r>
        <w:rPr>
          <w:rFonts w:hint="eastAsia"/>
        </w:rPr>
        <w:t>一、部门概况</w:t>
      </w:r>
      <w:r>
        <w:tab/>
      </w:r>
      <w:r>
        <w:fldChar w:fldCharType="begin"/>
      </w:r>
      <w:r>
        <w:instrText xml:space="preserve"> PAGEREF _Toc14188 \h </w:instrText>
      </w:r>
      <w:r>
        <w:fldChar w:fldCharType="separate"/>
      </w:r>
      <w:r>
        <w:t>1</w:t>
      </w:r>
      <w:r>
        <w:fldChar w:fldCharType="end"/>
      </w:r>
      <w:r>
        <w:fldChar w:fldCharType="end"/>
      </w:r>
    </w:p>
    <w:p w14:paraId="23C6E09F">
      <w:pPr>
        <w:pStyle w:val="11"/>
        <w:tabs>
          <w:tab w:val="right" w:leader="dot" w:pos="8690"/>
          <w:tab w:val="clear" w:pos="8680"/>
        </w:tabs>
        <w:spacing w:line="560" w:lineRule="exact"/>
        <w:rPr>
          <w:rFonts w:hint="eastAsia"/>
        </w:rPr>
      </w:pPr>
      <w:r>
        <w:fldChar w:fldCharType="begin"/>
      </w:r>
      <w:r>
        <w:instrText xml:space="preserve"> HYPERLINK \l "_Toc12382" </w:instrText>
      </w:r>
      <w:r>
        <w:fldChar w:fldCharType="separate"/>
      </w:r>
      <w:r>
        <w:rPr>
          <w:rFonts w:hint="eastAsia" w:ascii="楷体" w:hAnsi="楷体" w:eastAsia="楷体"/>
        </w:rPr>
        <w:t>（一）机构设置、职责</w:t>
      </w:r>
      <w:r>
        <w:tab/>
      </w:r>
      <w:r>
        <w:fldChar w:fldCharType="begin"/>
      </w:r>
      <w:r>
        <w:instrText xml:space="preserve"> PAGEREF _Toc12382 \h </w:instrText>
      </w:r>
      <w:r>
        <w:fldChar w:fldCharType="separate"/>
      </w:r>
      <w:r>
        <w:t>1</w:t>
      </w:r>
      <w:r>
        <w:fldChar w:fldCharType="end"/>
      </w:r>
      <w:r>
        <w:fldChar w:fldCharType="end"/>
      </w:r>
    </w:p>
    <w:p w14:paraId="1FA3FA20">
      <w:pPr>
        <w:pStyle w:val="11"/>
        <w:tabs>
          <w:tab w:val="right" w:leader="dot" w:pos="8690"/>
          <w:tab w:val="clear" w:pos="8680"/>
        </w:tabs>
        <w:spacing w:line="560" w:lineRule="exact"/>
        <w:rPr>
          <w:rFonts w:hint="eastAsia"/>
        </w:rPr>
      </w:pPr>
      <w:r>
        <w:fldChar w:fldCharType="begin"/>
      </w:r>
      <w:r>
        <w:instrText xml:space="preserve"> HYPERLINK \l "_Toc16537" </w:instrText>
      </w:r>
      <w:r>
        <w:fldChar w:fldCharType="separate"/>
      </w:r>
      <w:r>
        <w:rPr>
          <w:rFonts w:hint="eastAsia" w:ascii="楷体" w:hAnsi="楷体" w:eastAsia="楷体"/>
        </w:rPr>
        <w:t>（二）人员构成情况</w:t>
      </w:r>
      <w:r>
        <w:tab/>
      </w:r>
      <w:r>
        <w:fldChar w:fldCharType="begin"/>
      </w:r>
      <w:r>
        <w:instrText xml:space="preserve"> PAGEREF _Toc16537 \h </w:instrText>
      </w:r>
      <w:r>
        <w:fldChar w:fldCharType="separate"/>
      </w:r>
      <w:r>
        <w:t>7</w:t>
      </w:r>
      <w:r>
        <w:fldChar w:fldCharType="end"/>
      </w:r>
      <w:r>
        <w:fldChar w:fldCharType="end"/>
      </w:r>
    </w:p>
    <w:p w14:paraId="70BF573E">
      <w:pPr>
        <w:pStyle w:val="11"/>
        <w:tabs>
          <w:tab w:val="right" w:leader="dot" w:pos="8690"/>
          <w:tab w:val="clear" w:pos="8680"/>
        </w:tabs>
        <w:spacing w:line="560" w:lineRule="exact"/>
        <w:rPr>
          <w:rFonts w:hint="eastAsia"/>
        </w:rPr>
      </w:pPr>
      <w:r>
        <w:fldChar w:fldCharType="begin"/>
      </w:r>
      <w:r>
        <w:instrText xml:space="preserve"> HYPERLINK \l "_Toc28319" </w:instrText>
      </w:r>
      <w:r>
        <w:fldChar w:fldCharType="separate"/>
      </w:r>
      <w:r>
        <w:rPr>
          <w:rFonts w:hint="eastAsia" w:ascii="楷体" w:hAnsi="楷体" w:eastAsia="楷体"/>
        </w:rPr>
        <w:t>（三）部门整体绩效目标设立情况</w:t>
      </w:r>
      <w:r>
        <w:tab/>
      </w:r>
      <w:r>
        <w:fldChar w:fldCharType="begin"/>
      </w:r>
      <w:r>
        <w:instrText xml:space="preserve"> PAGEREF _Toc28319 \h </w:instrText>
      </w:r>
      <w:r>
        <w:fldChar w:fldCharType="separate"/>
      </w:r>
      <w:r>
        <w:t>7</w:t>
      </w:r>
      <w:r>
        <w:fldChar w:fldCharType="end"/>
      </w:r>
      <w:r>
        <w:fldChar w:fldCharType="end"/>
      </w:r>
    </w:p>
    <w:p w14:paraId="7782D982">
      <w:pPr>
        <w:pStyle w:val="11"/>
        <w:tabs>
          <w:tab w:val="right" w:leader="dot" w:pos="8690"/>
          <w:tab w:val="clear" w:pos="8680"/>
        </w:tabs>
        <w:spacing w:line="560" w:lineRule="exact"/>
        <w:rPr>
          <w:rFonts w:hint="eastAsia"/>
        </w:rPr>
      </w:pPr>
      <w:r>
        <w:fldChar w:fldCharType="begin"/>
      </w:r>
      <w:r>
        <w:instrText xml:space="preserve"> HYPERLINK \l "_Toc6298" </w:instrText>
      </w:r>
      <w:r>
        <w:fldChar w:fldCharType="separate"/>
      </w:r>
      <w:r>
        <w:rPr>
          <w:rFonts w:hint="eastAsia"/>
        </w:rPr>
        <w:t>二、当年预算执行情况</w:t>
      </w:r>
      <w:r>
        <w:tab/>
      </w:r>
      <w:r>
        <w:fldChar w:fldCharType="begin"/>
      </w:r>
      <w:r>
        <w:instrText xml:space="preserve"> PAGEREF _Toc6298 \h </w:instrText>
      </w:r>
      <w:r>
        <w:fldChar w:fldCharType="separate"/>
      </w:r>
      <w:r>
        <w:t>9</w:t>
      </w:r>
      <w:r>
        <w:fldChar w:fldCharType="end"/>
      </w:r>
      <w:r>
        <w:fldChar w:fldCharType="end"/>
      </w:r>
    </w:p>
    <w:p w14:paraId="71DF5752">
      <w:pPr>
        <w:pStyle w:val="11"/>
        <w:tabs>
          <w:tab w:val="right" w:leader="dot" w:pos="8690"/>
          <w:tab w:val="clear" w:pos="8680"/>
        </w:tabs>
        <w:spacing w:line="560" w:lineRule="exact"/>
        <w:rPr>
          <w:rFonts w:hint="eastAsia"/>
        </w:rPr>
      </w:pPr>
      <w:r>
        <w:fldChar w:fldCharType="begin"/>
      </w:r>
      <w:r>
        <w:instrText xml:space="preserve"> HYPERLINK \l "_Toc19954" </w:instrText>
      </w:r>
      <w:r>
        <w:fldChar w:fldCharType="separate"/>
      </w:r>
      <w:r>
        <w:rPr>
          <w:rFonts w:hint="eastAsia"/>
        </w:rPr>
        <w:t>三、整体绩效目标实现情况</w:t>
      </w:r>
      <w:r>
        <w:tab/>
      </w:r>
      <w:r>
        <w:fldChar w:fldCharType="begin"/>
      </w:r>
      <w:r>
        <w:instrText xml:space="preserve"> PAGEREF _Toc19954 \h </w:instrText>
      </w:r>
      <w:r>
        <w:fldChar w:fldCharType="separate"/>
      </w:r>
      <w:r>
        <w:t>9</w:t>
      </w:r>
      <w:r>
        <w:fldChar w:fldCharType="end"/>
      </w:r>
      <w:r>
        <w:fldChar w:fldCharType="end"/>
      </w:r>
    </w:p>
    <w:p w14:paraId="2025D1D0">
      <w:pPr>
        <w:pStyle w:val="11"/>
        <w:tabs>
          <w:tab w:val="right" w:leader="dot" w:pos="8690"/>
          <w:tab w:val="clear" w:pos="8680"/>
        </w:tabs>
        <w:spacing w:line="560" w:lineRule="exact"/>
        <w:rPr>
          <w:rFonts w:hint="eastAsia"/>
        </w:rPr>
      </w:pPr>
      <w:r>
        <w:fldChar w:fldCharType="begin"/>
      </w:r>
      <w:r>
        <w:instrText xml:space="preserve"> HYPERLINK \l "_Toc26049" </w:instrText>
      </w:r>
      <w:r>
        <w:fldChar w:fldCharType="separate"/>
      </w:r>
      <w:r>
        <w:rPr>
          <w:rFonts w:hint="eastAsia" w:ascii="楷体" w:hAnsi="楷体" w:eastAsia="楷体"/>
        </w:rPr>
        <w:t>（一）产出完成情况分析</w:t>
      </w:r>
      <w:r>
        <w:tab/>
      </w:r>
      <w:r>
        <w:fldChar w:fldCharType="begin"/>
      </w:r>
      <w:r>
        <w:instrText xml:space="preserve"> PAGEREF _Toc26049 \h </w:instrText>
      </w:r>
      <w:r>
        <w:fldChar w:fldCharType="separate"/>
      </w:r>
      <w:r>
        <w:t>10</w:t>
      </w:r>
      <w:r>
        <w:fldChar w:fldCharType="end"/>
      </w:r>
      <w:r>
        <w:fldChar w:fldCharType="end"/>
      </w:r>
    </w:p>
    <w:p w14:paraId="65EED720">
      <w:pPr>
        <w:pStyle w:val="11"/>
        <w:tabs>
          <w:tab w:val="right" w:leader="dot" w:pos="8690"/>
          <w:tab w:val="clear" w:pos="8680"/>
        </w:tabs>
        <w:spacing w:line="560" w:lineRule="exact"/>
        <w:rPr>
          <w:rFonts w:hint="eastAsia"/>
        </w:rPr>
      </w:pPr>
      <w:r>
        <w:fldChar w:fldCharType="begin"/>
      </w:r>
      <w:r>
        <w:instrText xml:space="preserve"> HYPERLINK \l "_Toc16834" </w:instrText>
      </w:r>
      <w:r>
        <w:fldChar w:fldCharType="separate"/>
      </w:r>
      <w:r>
        <w:rPr>
          <w:rFonts w:hint="eastAsia" w:ascii="楷体" w:hAnsi="楷体" w:eastAsia="楷体"/>
        </w:rPr>
        <w:t>（二）效果实现情况分析</w:t>
      </w:r>
      <w:r>
        <w:tab/>
      </w:r>
      <w:r>
        <w:fldChar w:fldCharType="begin"/>
      </w:r>
      <w:r>
        <w:instrText xml:space="preserve"> PAGEREF _Toc16834 \h </w:instrText>
      </w:r>
      <w:r>
        <w:fldChar w:fldCharType="separate"/>
      </w:r>
      <w:r>
        <w:t>13</w:t>
      </w:r>
      <w:r>
        <w:fldChar w:fldCharType="end"/>
      </w:r>
      <w:r>
        <w:fldChar w:fldCharType="end"/>
      </w:r>
    </w:p>
    <w:p w14:paraId="16BFDA2B">
      <w:pPr>
        <w:pStyle w:val="11"/>
        <w:tabs>
          <w:tab w:val="right" w:leader="dot" w:pos="8690"/>
          <w:tab w:val="clear" w:pos="8680"/>
        </w:tabs>
        <w:spacing w:line="560" w:lineRule="exact"/>
        <w:rPr>
          <w:rFonts w:hint="eastAsia"/>
        </w:rPr>
      </w:pPr>
      <w:r>
        <w:fldChar w:fldCharType="begin"/>
      </w:r>
      <w:r>
        <w:instrText xml:space="preserve"> HYPERLINK \l "_Toc8869" </w:instrText>
      </w:r>
      <w:r>
        <w:fldChar w:fldCharType="separate"/>
      </w:r>
      <w:r>
        <w:rPr>
          <w:rFonts w:hint="eastAsia"/>
        </w:rPr>
        <w:t>四、预算管理情况分析</w:t>
      </w:r>
      <w:r>
        <w:tab/>
      </w:r>
      <w:r>
        <w:fldChar w:fldCharType="begin"/>
      </w:r>
      <w:r>
        <w:instrText xml:space="preserve"> PAGEREF _Toc8869 \h </w:instrText>
      </w:r>
      <w:r>
        <w:fldChar w:fldCharType="separate"/>
      </w:r>
      <w:r>
        <w:t>15</w:t>
      </w:r>
      <w:r>
        <w:fldChar w:fldCharType="end"/>
      </w:r>
      <w:r>
        <w:fldChar w:fldCharType="end"/>
      </w:r>
    </w:p>
    <w:p w14:paraId="59215A8B">
      <w:pPr>
        <w:pStyle w:val="11"/>
        <w:tabs>
          <w:tab w:val="right" w:leader="dot" w:pos="8690"/>
          <w:tab w:val="clear" w:pos="8680"/>
        </w:tabs>
        <w:spacing w:line="560" w:lineRule="exact"/>
        <w:rPr>
          <w:rFonts w:hint="eastAsia"/>
        </w:rPr>
      </w:pPr>
      <w:r>
        <w:fldChar w:fldCharType="begin"/>
      </w:r>
      <w:r>
        <w:instrText xml:space="preserve"> HYPERLINK \l "_Toc17338" </w:instrText>
      </w:r>
      <w:r>
        <w:fldChar w:fldCharType="separate"/>
      </w:r>
      <w:r>
        <w:rPr>
          <w:rFonts w:hint="eastAsia" w:ascii="楷体" w:hAnsi="楷体" w:eastAsia="楷体"/>
        </w:rPr>
        <w:t>（一）财务管理</w:t>
      </w:r>
      <w:r>
        <w:tab/>
      </w:r>
      <w:r>
        <w:fldChar w:fldCharType="begin"/>
      </w:r>
      <w:r>
        <w:instrText xml:space="preserve"> PAGEREF _Toc17338 \h </w:instrText>
      </w:r>
      <w:r>
        <w:fldChar w:fldCharType="separate"/>
      </w:r>
      <w:r>
        <w:t>15</w:t>
      </w:r>
      <w:r>
        <w:fldChar w:fldCharType="end"/>
      </w:r>
      <w:r>
        <w:fldChar w:fldCharType="end"/>
      </w:r>
    </w:p>
    <w:p w14:paraId="6F9B65CD">
      <w:pPr>
        <w:pStyle w:val="11"/>
        <w:tabs>
          <w:tab w:val="right" w:leader="dot" w:pos="8690"/>
          <w:tab w:val="clear" w:pos="8680"/>
        </w:tabs>
        <w:spacing w:line="560" w:lineRule="exact"/>
        <w:rPr>
          <w:rFonts w:hint="eastAsia"/>
        </w:rPr>
      </w:pPr>
      <w:r>
        <w:fldChar w:fldCharType="begin"/>
      </w:r>
      <w:r>
        <w:instrText xml:space="preserve"> HYPERLINK \l "_Toc28144" </w:instrText>
      </w:r>
      <w:r>
        <w:fldChar w:fldCharType="separate"/>
      </w:r>
      <w:r>
        <w:rPr>
          <w:rFonts w:hint="eastAsia" w:ascii="楷体" w:hAnsi="楷体" w:eastAsia="楷体"/>
        </w:rPr>
        <w:t>（二）资产管理</w:t>
      </w:r>
      <w:r>
        <w:tab/>
      </w:r>
      <w:r>
        <w:fldChar w:fldCharType="begin"/>
      </w:r>
      <w:r>
        <w:instrText xml:space="preserve"> PAGEREF _Toc28144 \h </w:instrText>
      </w:r>
      <w:r>
        <w:fldChar w:fldCharType="separate"/>
      </w:r>
      <w:r>
        <w:t>15</w:t>
      </w:r>
      <w:r>
        <w:fldChar w:fldCharType="end"/>
      </w:r>
      <w:r>
        <w:fldChar w:fldCharType="end"/>
      </w:r>
    </w:p>
    <w:p w14:paraId="379D6B79">
      <w:pPr>
        <w:pStyle w:val="11"/>
        <w:tabs>
          <w:tab w:val="right" w:leader="dot" w:pos="8690"/>
          <w:tab w:val="clear" w:pos="8680"/>
        </w:tabs>
        <w:spacing w:line="560" w:lineRule="exact"/>
        <w:rPr>
          <w:rFonts w:hint="eastAsia"/>
        </w:rPr>
      </w:pPr>
      <w:r>
        <w:fldChar w:fldCharType="begin"/>
      </w:r>
      <w:r>
        <w:instrText xml:space="preserve"> HYPERLINK \l "_Toc31968" </w:instrText>
      </w:r>
      <w:r>
        <w:fldChar w:fldCharType="separate"/>
      </w:r>
      <w:r>
        <w:rPr>
          <w:rFonts w:hint="eastAsia" w:ascii="楷体" w:hAnsi="楷体" w:eastAsia="楷体"/>
        </w:rPr>
        <w:t>（三）绩效管理</w:t>
      </w:r>
      <w:r>
        <w:tab/>
      </w:r>
      <w:r>
        <w:fldChar w:fldCharType="begin"/>
      </w:r>
      <w:r>
        <w:instrText xml:space="preserve"> PAGEREF _Toc31968 \h </w:instrText>
      </w:r>
      <w:r>
        <w:fldChar w:fldCharType="separate"/>
      </w:r>
      <w:r>
        <w:t>15</w:t>
      </w:r>
      <w:r>
        <w:fldChar w:fldCharType="end"/>
      </w:r>
      <w:r>
        <w:fldChar w:fldCharType="end"/>
      </w:r>
    </w:p>
    <w:p w14:paraId="2D30E07E">
      <w:pPr>
        <w:pStyle w:val="11"/>
        <w:tabs>
          <w:tab w:val="right" w:leader="dot" w:pos="8690"/>
          <w:tab w:val="clear" w:pos="8680"/>
        </w:tabs>
        <w:spacing w:line="560" w:lineRule="exact"/>
        <w:rPr>
          <w:rFonts w:hint="eastAsia"/>
        </w:rPr>
      </w:pPr>
      <w:r>
        <w:fldChar w:fldCharType="begin"/>
      </w:r>
      <w:r>
        <w:instrText xml:space="preserve"> HYPERLINK \l "_Toc17801" </w:instrText>
      </w:r>
      <w:r>
        <w:fldChar w:fldCharType="separate"/>
      </w:r>
      <w:r>
        <w:rPr>
          <w:rFonts w:hint="eastAsia" w:ascii="楷体" w:hAnsi="楷体" w:eastAsia="楷体"/>
        </w:rPr>
        <w:t>（四）结转结余率</w:t>
      </w:r>
      <w:r>
        <w:tab/>
      </w:r>
      <w:r>
        <w:fldChar w:fldCharType="begin"/>
      </w:r>
      <w:r>
        <w:instrText xml:space="preserve"> PAGEREF _Toc17801 \h </w:instrText>
      </w:r>
      <w:r>
        <w:fldChar w:fldCharType="separate"/>
      </w:r>
      <w:r>
        <w:t>17</w:t>
      </w:r>
      <w:r>
        <w:fldChar w:fldCharType="end"/>
      </w:r>
      <w:r>
        <w:fldChar w:fldCharType="end"/>
      </w:r>
    </w:p>
    <w:p w14:paraId="47210BF4">
      <w:pPr>
        <w:pStyle w:val="11"/>
        <w:tabs>
          <w:tab w:val="right" w:leader="dot" w:pos="8690"/>
          <w:tab w:val="clear" w:pos="8680"/>
        </w:tabs>
        <w:spacing w:line="560" w:lineRule="exact"/>
        <w:rPr>
          <w:rFonts w:hint="eastAsia"/>
        </w:rPr>
      </w:pPr>
      <w:r>
        <w:fldChar w:fldCharType="begin"/>
      </w:r>
      <w:r>
        <w:instrText xml:space="preserve"> HYPERLINK \l "_Toc28814" </w:instrText>
      </w:r>
      <w:r>
        <w:fldChar w:fldCharType="separate"/>
      </w:r>
      <w:r>
        <w:rPr>
          <w:rFonts w:hint="eastAsia" w:ascii="楷体" w:hAnsi="楷体" w:eastAsia="楷体"/>
        </w:rPr>
        <w:t>（五）部门预决算差异</w:t>
      </w:r>
      <w:r>
        <w:tab/>
      </w:r>
      <w:r>
        <w:fldChar w:fldCharType="begin"/>
      </w:r>
      <w:r>
        <w:instrText xml:space="preserve"> PAGEREF _Toc28814 \h </w:instrText>
      </w:r>
      <w:r>
        <w:fldChar w:fldCharType="separate"/>
      </w:r>
      <w:r>
        <w:t>17</w:t>
      </w:r>
      <w:r>
        <w:fldChar w:fldCharType="end"/>
      </w:r>
      <w:r>
        <w:fldChar w:fldCharType="end"/>
      </w:r>
    </w:p>
    <w:p w14:paraId="59D462BC">
      <w:pPr>
        <w:pStyle w:val="11"/>
        <w:tabs>
          <w:tab w:val="right" w:leader="dot" w:pos="8690"/>
          <w:tab w:val="clear" w:pos="8680"/>
        </w:tabs>
        <w:spacing w:line="560" w:lineRule="exact"/>
        <w:rPr>
          <w:rFonts w:hint="eastAsia"/>
        </w:rPr>
      </w:pPr>
      <w:r>
        <w:fldChar w:fldCharType="begin"/>
      </w:r>
      <w:r>
        <w:instrText xml:space="preserve"> HYPERLINK \l "_Toc28719" </w:instrText>
      </w:r>
      <w:r>
        <w:fldChar w:fldCharType="separate"/>
      </w:r>
      <w:r>
        <w:rPr>
          <w:rFonts w:hint="eastAsia"/>
        </w:rPr>
        <w:t>五、总体评价结论</w:t>
      </w:r>
      <w:r>
        <w:tab/>
      </w:r>
      <w:r>
        <w:fldChar w:fldCharType="begin"/>
      </w:r>
      <w:r>
        <w:instrText xml:space="preserve"> PAGEREF _Toc28719 \h </w:instrText>
      </w:r>
      <w:r>
        <w:fldChar w:fldCharType="separate"/>
      </w:r>
      <w:r>
        <w:t>17</w:t>
      </w:r>
      <w:r>
        <w:fldChar w:fldCharType="end"/>
      </w:r>
      <w:r>
        <w:fldChar w:fldCharType="end"/>
      </w:r>
    </w:p>
    <w:p w14:paraId="43DCB0FF">
      <w:pPr>
        <w:pStyle w:val="11"/>
        <w:tabs>
          <w:tab w:val="right" w:leader="dot" w:pos="8690"/>
          <w:tab w:val="clear" w:pos="8680"/>
        </w:tabs>
        <w:spacing w:line="560" w:lineRule="exact"/>
        <w:rPr>
          <w:rFonts w:hint="eastAsia"/>
        </w:rPr>
      </w:pPr>
      <w:r>
        <w:fldChar w:fldCharType="begin"/>
      </w:r>
      <w:r>
        <w:instrText xml:space="preserve"> HYPERLINK \l "_Toc47" </w:instrText>
      </w:r>
      <w:r>
        <w:fldChar w:fldCharType="separate"/>
      </w:r>
      <w:r>
        <w:rPr>
          <w:rFonts w:hint="eastAsia" w:ascii="楷体" w:hAnsi="楷体" w:eastAsia="楷体" w:cs="楷体"/>
        </w:rPr>
        <w:t>（一）评价得分情况</w:t>
      </w:r>
      <w:r>
        <w:tab/>
      </w:r>
      <w:r>
        <w:fldChar w:fldCharType="begin"/>
      </w:r>
      <w:r>
        <w:instrText xml:space="preserve"> PAGEREF _Toc47 \h </w:instrText>
      </w:r>
      <w:r>
        <w:fldChar w:fldCharType="separate"/>
      </w:r>
      <w:r>
        <w:t>17</w:t>
      </w:r>
      <w:r>
        <w:fldChar w:fldCharType="end"/>
      </w:r>
      <w:r>
        <w:fldChar w:fldCharType="end"/>
      </w:r>
    </w:p>
    <w:p w14:paraId="047EF34B">
      <w:pPr>
        <w:pStyle w:val="11"/>
        <w:tabs>
          <w:tab w:val="right" w:leader="dot" w:pos="8690"/>
          <w:tab w:val="clear" w:pos="8680"/>
        </w:tabs>
        <w:spacing w:line="560" w:lineRule="exact"/>
        <w:rPr>
          <w:rFonts w:hint="eastAsia"/>
        </w:rPr>
      </w:pPr>
      <w:r>
        <w:fldChar w:fldCharType="begin"/>
      </w:r>
      <w:r>
        <w:instrText xml:space="preserve"> HYPERLINK \l "_Toc12473" </w:instrText>
      </w:r>
      <w:r>
        <w:fldChar w:fldCharType="separate"/>
      </w:r>
      <w:r>
        <w:rPr>
          <w:rFonts w:hint="eastAsia" w:ascii="楷体" w:hAnsi="楷体" w:eastAsia="楷体" w:cs="楷体"/>
        </w:rPr>
        <w:t>（二）存在的问题及原因分析</w:t>
      </w:r>
      <w:r>
        <w:tab/>
      </w:r>
      <w:r>
        <w:fldChar w:fldCharType="begin"/>
      </w:r>
      <w:r>
        <w:instrText xml:space="preserve"> PAGEREF _Toc12473 \h </w:instrText>
      </w:r>
      <w:r>
        <w:fldChar w:fldCharType="separate"/>
      </w:r>
      <w:r>
        <w:t>17</w:t>
      </w:r>
      <w:r>
        <w:fldChar w:fldCharType="end"/>
      </w:r>
      <w:r>
        <w:fldChar w:fldCharType="end"/>
      </w:r>
    </w:p>
    <w:p w14:paraId="154830C2">
      <w:pPr>
        <w:pStyle w:val="11"/>
        <w:tabs>
          <w:tab w:val="right" w:leader="dot" w:pos="8690"/>
          <w:tab w:val="clear" w:pos="8680"/>
        </w:tabs>
        <w:spacing w:line="560" w:lineRule="exact"/>
        <w:rPr>
          <w:rFonts w:hint="eastAsia"/>
        </w:rPr>
      </w:pPr>
      <w:r>
        <w:fldChar w:fldCharType="begin"/>
      </w:r>
      <w:r>
        <w:instrText xml:space="preserve"> HYPERLINK \l "_Toc5610" </w:instrText>
      </w:r>
      <w:r>
        <w:fldChar w:fldCharType="separate"/>
      </w:r>
      <w:r>
        <w:rPr>
          <w:rFonts w:hint="eastAsia"/>
        </w:rPr>
        <w:t>六、措施建议</w:t>
      </w:r>
      <w:r>
        <w:tab/>
      </w:r>
      <w:r>
        <w:fldChar w:fldCharType="begin"/>
      </w:r>
      <w:r>
        <w:instrText xml:space="preserve"> PAGEREF _Toc5610 \h </w:instrText>
      </w:r>
      <w:r>
        <w:fldChar w:fldCharType="separate"/>
      </w:r>
      <w:r>
        <w:t>18</w:t>
      </w:r>
      <w:r>
        <w:fldChar w:fldCharType="end"/>
      </w:r>
      <w:r>
        <w:fldChar w:fldCharType="end"/>
      </w:r>
    </w:p>
    <w:p w14:paraId="0D8331E9">
      <w:pPr>
        <w:pStyle w:val="11"/>
        <w:tabs>
          <w:tab w:val="right" w:leader="dot" w:pos="8690"/>
          <w:tab w:val="clear" w:pos="8680"/>
        </w:tabs>
        <w:spacing w:line="560" w:lineRule="exact"/>
        <w:rPr>
          <w:rFonts w:hint="eastAsia"/>
        </w:rPr>
      </w:pPr>
      <w:r>
        <w:fldChar w:fldCharType="begin"/>
      </w:r>
      <w:r>
        <w:instrText xml:space="preserve"> HYPERLINK \l "_Toc30877" </w:instrText>
      </w:r>
      <w:r>
        <w:fldChar w:fldCharType="separate"/>
      </w:r>
      <w:r>
        <w:rPr>
          <w:rFonts w:hint="eastAsia" w:cs="Times New Roman"/>
        </w:rPr>
        <w:t>七、附件</w:t>
      </w:r>
      <w:r>
        <w:tab/>
      </w:r>
      <w:r>
        <w:fldChar w:fldCharType="begin"/>
      </w:r>
      <w:r>
        <w:instrText xml:space="preserve"> PAGEREF _Toc30877 \h </w:instrText>
      </w:r>
      <w:r>
        <w:fldChar w:fldCharType="separate"/>
      </w:r>
      <w:r>
        <w:t>19</w:t>
      </w:r>
      <w:r>
        <w:fldChar w:fldCharType="end"/>
      </w:r>
      <w:r>
        <w:fldChar w:fldCharType="end"/>
      </w:r>
    </w:p>
    <w:p w14:paraId="7D1E6A4B">
      <w:pPr>
        <w:spacing w:line="560" w:lineRule="exact"/>
        <w:rPr>
          <w:rFonts w:hint="eastAsia" w:ascii="黑体" w:hAnsi="黑体" w:eastAsia="黑体" w:cs="黑体"/>
          <w:sz w:val="44"/>
          <w:szCs w:val="44"/>
        </w:rPr>
      </w:pPr>
      <w:r>
        <w:rPr>
          <w:rFonts w:hint="eastAsia" w:ascii="仿宋" w:hAnsi="仿宋" w:eastAsia="仿宋" w:cs="仿宋"/>
          <w:szCs w:val="32"/>
        </w:rPr>
        <w:fldChar w:fldCharType="end"/>
      </w:r>
    </w:p>
    <w:p w14:paraId="36C78F80">
      <w:pPr>
        <w:pStyle w:val="3"/>
        <w:spacing w:before="0" w:after="0" w:line="560" w:lineRule="exact"/>
        <w:ind w:firstLine="643" w:firstLineChars="200"/>
        <w:rPr>
          <w:rFonts w:hint="eastAsia" w:ascii="黑体" w:hAnsi="黑体" w:eastAsia="黑体"/>
        </w:rPr>
        <w:sectPr>
          <w:footerReference r:id="rId5" w:type="default"/>
          <w:footnotePr>
            <w:numFmt w:val="decimalEnclosedCircleChinese"/>
          </w:footnotePr>
          <w:pgSz w:w="11906" w:h="16838"/>
          <w:pgMar w:top="1440" w:right="1416" w:bottom="1440" w:left="1800" w:header="851" w:footer="992" w:gutter="0"/>
          <w:pgNumType w:start="1"/>
          <w:cols w:space="720" w:num="1"/>
          <w:docGrid w:type="lines" w:linePitch="312" w:charSpace="0"/>
        </w:sectPr>
      </w:pPr>
    </w:p>
    <w:p w14:paraId="51E6FE7E">
      <w:pPr>
        <w:snapToGrid w:val="0"/>
        <w:spacing w:line="560" w:lineRule="exact"/>
        <w:jc w:val="center"/>
        <w:rPr>
          <w:rFonts w:ascii="方正小标宋_GBK" w:hAnsi="Times New Roman" w:eastAsia="方正小标宋_GBK"/>
          <w:sz w:val="44"/>
          <w:szCs w:val="44"/>
        </w:rPr>
      </w:pPr>
      <w:r>
        <w:rPr>
          <w:rFonts w:hint="eastAsia" w:ascii="方正小标宋_GBK" w:hAnsi="Times New Roman" w:eastAsia="方正小标宋_GBK"/>
          <w:sz w:val="44"/>
          <w:szCs w:val="44"/>
        </w:rPr>
        <w:t>北京市科学技术委员会部门整体</w:t>
      </w:r>
    </w:p>
    <w:p w14:paraId="25BDF8D9">
      <w:pPr>
        <w:snapToGrid w:val="0"/>
        <w:spacing w:line="560" w:lineRule="exact"/>
        <w:jc w:val="center"/>
        <w:rPr>
          <w:rFonts w:ascii="方正小标宋_GBK" w:hAnsi="Times New Roman" w:eastAsia="方正小标宋_GBK"/>
          <w:sz w:val="44"/>
          <w:szCs w:val="44"/>
        </w:rPr>
      </w:pPr>
      <w:r>
        <w:rPr>
          <w:rFonts w:hint="eastAsia" w:ascii="方正小标宋_GBK" w:hAnsi="Times New Roman" w:eastAsia="方正小标宋_GBK"/>
          <w:sz w:val="44"/>
          <w:szCs w:val="44"/>
        </w:rPr>
        <w:t>绩效评价报告</w:t>
      </w:r>
    </w:p>
    <w:p w14:paraId="040064D8">
      <w:pPr>
        <w:snapToGrid w:val="0"/>
        <w:spacing w:line="560" w:lineRule="exact"/>
        <w:jc w:val="left"/>
        <w:rPr>
          <w:rFonts w:ascii="方正小标宋_GBK" w:hAnsi="Times New Roman" w:eastAsia="方正小标宋_GBK"/>
          <w:sz w:val="44"/>
          <w:szCs w:val="44"/>
        </w:rPr>
      </w:pPr>
    </w:p>
    <w:p w14:paraId="1E2954F0">
      <w:pPr>
        <w:pStyle w:val="3"/>
        <w:keepNext w:val="0"/>
        <w:keepLines w:val="0"/>
        <w:adjustRightInd w:val="0"/>
        <w:snapToGrid w:val="0"/>
        <w:spacing w:before="0" w:after="0" w:line="560" w:lineRule="exact"/>
        <w:ind w:firstLine="640" w:firstLineChars="200"/>
        <w:rPr>
          <w:rFonts w:hint="eastAsia" w:ascii="黑体" w:hAnsi="黑体" w:eastAsia="黑体"/>
          <w:b w:val="0"/>
          <w:bCs w:val="0"/>
        </w:rPr>
      </w:pPr>
      <w:bookmarkStart w:id="0" w:name="_Toc14188"/>
      <w:r>
        <w:rPr>
          <w:rFonts w:hint="eastAsia" w:ascii="黑体" w:hAnsi="黑体" w:eastAsia="黑体"/>
          <w:b w:val="0"/>
          <w:bCs w:val="0"/>
        </w:rPr>
        <w:t>一、部门概况</w:t>
      </w:r>
      <w:bookmarkEnd w:id="0"/>
    </w:p>
    <w:p w14:paraId="32AC43F2">
      <w:pPr>
        <w:pStyle w:val="3"/>
        <w:keepNext w:val="0"/>
        <w:keepLines w:val="0"/>
        <w:adjustRightInd w:val="0"/>
        <w:snapToGrid w:val="0"/>
        <w:spacing w:before="0" w:after="0" w:line="560" w:lineRule="exact"/>
        <w:ind w:firstLine="640" w:firstLineChars="200"/>
        <w:rPr>
          <w:rFonts w:hint="eastAsia" w:ascii="楷体" w:hAnsi="楷体" w:eastAsia="楷体"/>
          <w:b w:val="0"/>
          <w:bCs w:val="0"/>
        </w:rPr>
      </w:pPr>
      <w:bookmarkStart w:id="1" w:name="_Toc12382"/>
      <w:r>
        <w:rPr>
          <w:rFonts w:hint="eastAsia" w:ascii="楷体" w:hAnsi="楷体" w:eastAsia="楷体"/>
          <w:b w:val="0"/>
          <w:bCs w:val="0"/>
        </w:rPr>
        <w:t>（一）机构设置、职责</w:t>
      </w:r>
      <w:bookmarkEnd w:id="1"/>
    </w:p>
    <w:p w14:paraId="15B75CB4">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根据中共北京市委办公厅、北京市人民政府办公厅关于印发《北京市科学技术委员会、中关村科技园区管理委员会职能配置、内设机构和人员编制规定》（京办字〔2021〕5号）的通知，北京市科学技术委员会、中关村科技园区管理委员会（简称市科委、中关村管委会）内设处室分别为：办公室、科创中心建设综合协调处、发展规划处、政策法规处（研究室）、资源配置与管理处、科技监督与诚信建设处、重大专项处、科技成果转化处、科研机构管理处、科技金融处、国际合作处（港澳台科技合作办公室）、科技协作与支援合作处、外国专家服务与科技人才处（港澳台专家服务处）、科技统计分析处、信息科技处、新材料与智能制造科技处、医药健康科技处、社会发展科技处、文化科技处（科普处）、科技服务业处、园区发展建设处、创新创业服务处、中关村新技术新产品促进处、宣传处、财务处（资产监管处）、人事处、机关党委（党建工作处）、机关纪委、工会、离退休干部处。另设有市纪委市监委驻市科委、中关村管委会纪检监察组。</w:t>
      </w:r>
    </w:p>
    <w:p w14:paraId="366C2B4D">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下属21家预算单位参加了2024年度部门决算，分别为：北京市科学技术委员会本级行政，中关村科技园区管理委员会（本级），北京市科学技术委员会本级事业，北京市自然科学基金委员会办公室，北京市实验动物管理办公室（北京市人类遗传资源管理办公室），北京科技创新研究中心，北京市科学技术奖励工作办公室，北京医药健康科技发展中心，北京国际科技合作中心（北京港澳台科技合作中心），北京软件产品质量检测检验中心，北京新材料和新能源科技发展中心，北京技术市场管理办公室，北京科技创新促进中心，北京科技成果转化服务中心，北京市实验室服务保障中心，北京科技审评中心，北京科技人才发展中心（北京海外学人中心中关村分中心），北京信息科技发展中心，北京市科学技术委员会、中关村科技园区管理委员会综合事务中心，中关村高科技产业促进中心和中关村政府采购促进中心。</w:t>
      </w:r>
    </w:p>
    <w:p w14:paraId="6EC5EE81">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市科委、中关村管委会贯彻落实党中央关于科技创新工作的方针政策、决策部署和市委有关工作要求，在履行职责过程中坚持和加强党对科技创新工作的集中统一领导。主要职责是：</w:t>
      </w:r>
    </w:p>
    <w:p w14:paraId="3A5BBA48">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1.贯彻落实国家创新驱动发展战略和科技工作的法律法规、规章和政策，起草本市相关地方性法规草案、政府规章草案，组织拟订相关政策措施并组织实施。</w:t>
      </w:r>
    </w:p>
    <w:p w14:paraId="6C0639E4">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2.牵头推进国际科技创新中心建设。承担北京推进科技创新中心建设办公室秘书处职能，组织拟订相关工作方案及年度计划，并开展监督落实。</w:t>
      </w:r>
    </w:p>
    <w:p w14:paraId="45E7C295">
      <w:pPr>
        <w:tabs>
          <w:tab w:val="left" w:pos="3544"/>
        </w:tabs>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3.统筹推进首都创新体系建设和科技体制改革，健全技术创新激励机制。统筹推进“三城一区”和“一区十六园”科技创新方面的规划建设发展。优化科研体系建设，指导科研机构改革发展。负责新型研发机构的筹建、管理及服务。牵头推动企业科技创新能力建设。承担推进科技军民融合发展相关工作。</w:t>
      </w:r>
    </w:p>
    <w:p w14:paraId="6720B78D">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4.推进本市重大科技决策咨询制度建设。负责提出科技发展战略建议。提出科技发展布局和优先发展领域。拟订促进科技文化融合发展、科学普及、科学传播规划政策并组织实施。</w:t>
      </w:r>
    </w:p>
    <w:p w14:paraId="6D2E8BDD">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5.拟订本市基础研究规划、政策并组织实施，组织协调基础研究和应用基础研究。参与重大科技基础设施建设和运行。提出科研条件保障规划和政策建议，推进科研条件保障建设和科技资源开放共享。</w:t>
      </w:r>
    </w:p>
    <w:p w14:paraId="2DB88FDA">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6.组织开展本市重点领域技术发展需求分析，提出重大任务。统筹推进关键共性技术、前沿引领技术、现代工程技术、颠覆性技术研发和创新，牵头组织重大技术攻关和成果应用示范，组织参与国际大科学计划和大科学工程。</w:t>
      </w:r>
    </w:p>
    <w:p w14:paraId="1C736DB2">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7.负责本市科技管理工作。牵头建立本市科技管理平台和科研项目资金协调、评估、监管机制。提出优化配置科技资源的政策措施建议。推动多元化科技投入体系建设。统筹财政科技计划（专项、基金等）实施。拟订科技金融相关政策，开展科技金融促进工作。</w:t>
      </w:r>
    </w:p>
    <w:p w14:paraId="134414CB">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8.组织拟订本市高新技术发展及产业化、科技服务业、科技促进城市和农业农村发展的规划、政策及措施。</w:t>
      </w:r>
    </w:p>
    <w:p w14:paraId="35DE5C08">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9.牵头本市技术转移体系建设，拟订科技成果转移转化和促进产学研深度融合的相关政策措施并组织实施。负责应用场景建设相关工作。拟订促进技术市场发展的政策措施并组织实施。促进各类科技中介及协会组织发展。</w:t>
      </w:r>
    </w:p>
    <w:p w14:paraId="2E7D5FCC">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10.拟订本市科技项目管理的政策措施。负责科学技术奖励组织实施及自然科学基金管理。承担科技信息、科技统计、创新调查和科研成果报告工作。依据市政府授权，履行所监管企业出资人职责，依法对所监管企业国有资产进行监督管理，并加强业务指导。指导科技保密工作。</w:t>
      </w:r>
    </w:p>
    <w:p w14:paraId="1AD0D420">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11.负责本市科技监督评价体系建设和相关科技评估管理，统筹开展全市科研诚信建设工作。开展科技评估评价和监督检查工作。</w:t>
      </w:r>
    </w:p>
    <w:p w14:paraId="5866A03F">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12.负责本市引进国外智力工作。拟订引进外国专家规划、计划并组织实施。建立外国顶尖科学家及其团队、外国科技人才吸引集聚机制和重点外国专家联系服务机制。拟订出国（境）培训规划、年度计划和政策，并组织实施。</w:t>
      </w:r>
    </w:p>
    <w:p w14:paraId="741E7BCE">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13.拟订本市科技人才队伍建设规划和政策，建立健全科技人才评价和激励机制，组织实施科技人才计划，推动高端科技创新人才队伍建设，统筹推进中关村科技园区人才工作。</w:t>
      </w:r>
    </w:p>
    <w:p w14:paraId="508095C1">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14.指导各区科技创新工作，联系市有关部门科技创新工作。统筹推进本市与各省区市的科技领域交流合作、科技协作和支援合作工作。</w:t>
      </w:r>
    </w:p>
    <w:p w14:paraId="6FFDFA22">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15.拟订本市科技对外交流与创新能力开放合作的规划、政策和措施。组织开展国际科技合作、中关村科技园区国际交流与合作，推进国际技术转移。牵头组织技术出口和技术引进工作。负责涉港澳台科技合作交流。负责科技外事工作和中关村科技园区外事、宣传、联络等工作。承担中关村论坛筹办相关工作。</w:t>
      </w:r>
    </w:p>
    <w:p w14:paraId="7D71CF34">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16.负责中关村科技园区发展建设工作，承担统筹、规划、组织、协调、服务中关村国家自主创新示范区建设与发展的有关具体工作。组织研究园区发展规划、政策及相关改革方案，并协调落实。</w:t>
      </w:r>
    </w:p>
    <w:p w14:paraId="1226EA9D">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17.组织落实国家和本市促进高新技术产业开发区发展的政策措施，开展中关村科技园区创新创业、高新技术研发及其成果产业化、社会组织发展、知识产权等方面的促进和服务工作，培育战略性新兴产业、未来产业。</w:t>
      </w:r>
    </w:p>
    <w:p w14:paraId="7A035216">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18.负责指导中关村科技园区各园工作，参与组织编制中关村科技园区有关空间规划，对各园空间规划、产业布局定位、动态监测、项目准入标准等重要业务实行统一管理，优化空间布局和创新创业载体建设，开展园区发展考核评价工作，促进各园高端化、特色化、差异化发展，服务区域协调发展。</w:t>
      </w:r>
    </w:p>
    <w:p w14:paraId="6C711A03">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19.完成市委、市政府交办的其他任务。</w:t>
      </w:r>
    </w:p>
    <w:p w14:paraId="49FFE764">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20.职能转变。</w:t>
      </w:r>
    </w:p>
    <w:p w14:paraId="795CBC5E">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1）坚持创新驱动发展。贯彻实施科教兴国战略、人才强国战略、创新驱动发展战略，坚持科技自立自强，瞄准世界科技前沿，优化创新资源布局，制定实施战略行动计划，加快建设国际科技创新中心，为科技强国建设提供支撑。</w:t>
      </w:r>
    </w:p>
    <w:p w14:paraId="75B36891">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2）深化科技体制改革。加快科技管理职能转变，加强宏观统筹，减少微观管理。建立公开统一的科技管理平台。优化科技规划体系和运行机制，推动重点领域项目、基地、人才、资金一体化配置。改进科技项目组织管理方式，实行“揭榜挂帅”等制度。完善科技评价机制，优化科技奖励项目。扩大创新主体科研管理自主权。健全以创新能力、质量、实效、贡献为导向的科技人才评价体系。完善科研人员职务发明成果权益分享机制。弘扬科学家精神。实行更加开放的科技人才政策。</w:t>
      </w:r>
    </w:p>
    <w:p w14:paraId="7EBF7DC8">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3）加快形成战略科技力量。发挥新型举国体制优势，打好关键核心技术攻坚战，提高创新链整体效能。承接国家重大科技项目建设，参与重大科技基础设施建设和运行。加大对基础研究和原始创新支持力度，优化研发布局。推进科研院所、高校、企业科研力量优化配置和资源共享。</w:t>
      </w:r>
    </w:p>
    <w:p w14:paraId="13494C48">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（4）全面促进科技成果转化。加强对创新主体的支持，促进产学研深度融合，加快科技成果转化。提升中关村科技园区自主创新能力建设，推动关键技术的示范应用，支撑高精尖产业高质量发展。</w:t>
      </w:r>
    </w:p>
    <w:p w14:paraId="7E002BE9">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5）持续优化创新生态。完善科技治理体系，提高创新体系效能，增强创新策源功能。发挥政府制度创新的能动作用和市场配置资源的决定性作用，强化企业创新主体地位，激发创新创造活力。加强科技合作交流和智力引进，加快融入全球科技创新网络，提升科技创新影响力。</w:t>
      </w:r>
    </w:p>
    <w:p w14:paraId="67A18DF7">
      <w:pPr>
        <w:adjustRightInd w:val="0"/>
        <w:snapToGrid w:val="0"/>
        <w:spacing w:line="560" w:lineRule="exact"/>
        <w:ind w:firstLine="640" w:firstLineChars="200"/>
        <w:rPr>
          <w:rFonts w:hint="eastAsia" w:ascii="仿宋_GB2312" w:hAnsi="仿宋" w:eastAsia="仿宋_GB2312"/>
          <w:bCs/>
          <w:sz w:val="32"/>
          <w:szCs w:val="32"/>
        </w:rPr>
      </w:pPr>
      <w:r>
        <w:rPr>
          <w:rFonts w:hint="eastAsia" w:ascii="仿宋_GB2312" w:hAnsi="仿宋" w:eastAsia="仿宋_GB2312"/>
          <w:bCs/>
          <w:sz w:val="32"/>
          <w:szCs w:val="32"/>
        </w:rPr>
        <w:t>21.与市经济和信息化局有关职责分工。市科委、中关村管委会与市经济和信息化局要加强在创新驱动发展方面协同联动，推动产学研深度融合。市科委、中关村管委会负责组织和服务企业技术创新和科研攻关，牵头负责科技成果转化的管理、指导、协调和服务工作，拟订本市科技成果转移转化、促进产学研深度融合的政策措施，并组织实施。市经济和信息化局负责组织推进产业布局调整和产业结构优化升级，协调解决产业运行和发展中有关问题，重点组织产业规划发展、市场要素配置和产品推广应用，支持企业做大做强。</w:t>
      </w:r>
    </w:p>
    <w:p w14:paraId="3BD0348B">
      <w:pPr>
        <w:pStyle w:val="3"/>
        <w:keepNext w:val="0"/>
        <w:keepLines w:val="0"/>
        <w:adjustRightInd w:val="0"/>
        <w:snapToGrid w:val="0"/>
        <w:spacing w:before="0" w:after="0" w:line="560" w:lineRule="exact"/>
        <w:ind w:firstLine="640" w:firstLineChars="200"/>
        <w:rPr>
          <w:rFonts w:hint="eastAsia" w:ascii="楷体" w:hAnsi="楷体" w:eastAsia="楷体"/>
          <w:b w:val="0"/>
          <w:bCs w:val="0"/>
        </w:rPr>
      </w:pPr>
      <w:bookmarkStart w:id="2" w:name="_Toc16537"/>
      <w:r>
        <w:rPr>
          <w:rFonts w:hint="eastAsia" w:ascii="楷体" w:hAnsi="楷体" w:eastAsia="楷体"/>
          <w:b w:val="0"/>
          <w:bCs w:val="0"/>
        </w:rPr>
        <w:t>（二）人员构成情况</w:t>
      </w:r>
      <w:bookmarkEnd w:id="2"/>
    </w:p>
    <w:p w14:paraId="3D7C7CFB">
      <w:pPr>
        <w:tabs>
          <w:tab w:val="center" w:pos="6979"/>
        </w:tabs>
        <w:spacing w:line="560" w:lineRule="exact"/>
        <w:ind w:firstLine="640" w:firstLineChars="200"/>
        <w:rPr>
          <w:rFonts w:ascii="仿宋_GB2312" w:hAnsi="Times New Roman" w:eastAsia="仿宋_GB2312"/>
          <w:b/>
          <w:sz w:val="32"/>
          <w:szCs w:val="32"/>
        </w:rPr>
      </w:pPr>
      <w:bookmarkStart w:id="3" w:name="_Toc28319"/>
      <w:r>
        <w:rPr>
          <w:rFonts w:hint="eastAsia" w:ascii="仿宋_GB2312" w:hAnsi="仿宋" w:eastAsia="仿宋_GB2312"/>
          <w:bCs/>
          <w:color w:val="000000" w:themeColor="text1"/>
          <w:sz w:val="32"/>
          <w:szCs w:val="32"/>
          <w14:textFill>
            <w14:solidFill>
              <w14:schemeClr w14:val="tx1"/>
            </w14:solidFill>
          </w14:textFill>
        </w:rPr>
        <w:t>市科委、中关村管委会部门</w:t>
      </w:r>
      <w:r>
        <w:rPr>
          <w:rFonts w:hint="eastAsia" w:ascii="仿宋_GB2312" w:hAnsi="Segoe UI" w:eastAsia="仿宋_GB2312" w:cs="Segoe UI"/>
          <w:color w:val="232930"/>
          <w:kern w:val="0"/>
          <w:sz w:val="32"/>
          <w:szCs w:val="32"/>
          <w:shd w:val="clear" w:color="auto" w:fill="FFFFFF"/>
        </w:rPr>
        <w:t>行政编制199人，实有人数200人；事业编制796人，实有人数665人。离退休人员351人，其中：离休4人，退休347人</w:t>
      </w:r>
      <w:r>
        <w:rPr>
          <w:rFonts w:hint="eastAsia" w:ascii="仿宋_GB2312" w:eastAsia="仿宋_GB2312"/>
          <w:bCs/>
          <w:sz w:val="32"/>
          <w:szCs w:val="32"/>
        </w:rPr>
        <w:t>。</w:t>
      </w:r>
    </w:p>
    <w:p w14:paraId="6BD383C5">
      <w:pPr>
        <w:pStyle w:val="3"/>
        <w:keepNext w:val="0"/>
        <w:keepLines w:val="0"/>
        <w:adjustRightInd w:val="0"/>
        <w:snapToGrid w:val="0"/>
        <w:spacing w:before="0" w:after="0" w:line="560" w:lineRule="exact"/>
        <w:ind w:firstLine="640" w:firstLineChars="200"/>
        <w:rPr>
          <w:rFonts w:hint="eastAsia" w:ascii="楷体" w:hAnsi="楷体" w:eastAsia="楷体"/>
          <w:b w:val="0"/>
          <w:bCs w:val="0"/>
        </w:rPr>
      </w:pPr>
      <w:r>
        <w:rPr>
          <w:rFonts w:hint="eastAsia" w:ascii="楷体" w:hAnsi="楷体" w:eastAsia="楷体"/>
          <w:b w:val="0"/>
          <w:bCs w:val="0"/>
        </w:rPr>
        <w:t>（三）部门整体绩效目标设立情况</w:t>
      </w:r>
      <w:bookmarkEnd w:id="3"/>
    </w:p>
    <w:p w14:paraId="2C730D8F">
      <w:pPr>
        <w:adjustRightInd w:val="0"/>
        <w:snapToGrid w:val="0"/>
        <w:spacing w:line="560" w:lineRule="exact"/>
        <w:ind w:firstLine="640" w:firstLineChars="200"/>
        <w:rPr>
          <w:rFonts w:hint="eastAsia"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市科委、中关村管委会结合部门职责、2023年重点工作任务及财政资金分配使用计划，制定了《北京市科学技术委员会2023年部门整体支出绩效目标申报表》，明确了部门总体绩效目标：坚持以习近平新时代中国特色社会主义思想为指导，深入学习宣传贯彻党的二十大精神、习近平总书记关于国际科技创新中心建设和2021中关村论坛重要视频致辞精神，主动服务创新驱动发展等国家战略，聚焦国际科技创新中心建设，补短板、挖潜力、增优势，紧紧围绕国家重大战略需求，着力打造战略科技力量；深入推进中关村先行先试改革，着力建设世界领先科技园区；坚持“五子”联动，着力推动“三城一区”创新发展；大力突破关键核心技术，着力培育高精尖产业新动能；加大战略科学家、科技领军人才等引进和培养力度，着力构筑高水平人才高地；优化开放创新格局，促进京津冀协同发展和对外开放，加快实现高水平科技自立自强，更好支撑科技强国建设。</w:t>
      </w:r>
    </w:p>
    <w:p w14:paraId="54DBFD7E">
      <w:pPr>
        <w:adjustRightInd w:val="0"/>
        <w:snapToGrid w:val="0"/>
        <w:spacing w:line="560" w:lineRule="exact"/>
        <w:ind w:firstLine="640" w:firstLineChars="200"/>
        <w:rPr>
          <w:rFonts w:hint="eastAsia"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一是深入推进中关村新一轮先行先试改革。增强改革统筹协同，发挥好中关村先行先试改革专项小组职能作用，持续强化督促调度，推进改革任务落地落细取得更大成效；加强改革成效总结评估，持续跟进改革任务落实进展，及时提炼改革经验和典型案例，争取向更大范围推广；持续做好改革研究储备，进一步研究完善改革政策建议，推动形成中关村先行先试改革“压茬推进、滚动推出”新态势。</w:t>
      </w:r>
    </w:p>
    <w:p w14:paraId="16989CBF">
      <w:pPr>
        <w:adjustRightInd w:val="0"/>
        <w:snapToGrid w:val="0"/>
        <w:spacing w:line="560" w:lineRule="exact"/>
        <w:ind w:firstLine="640" w:firstLineChars="200"/>
        <w:rPr>
          <w:rFonts w:hint="eastAsia"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二是切实抓好“一计划两规划”（《“十四五”北京国际科技创新中心建设战略行动计划》《北京市“十四五”时期国际科技创新中心建设规划》《“十四五”时期中关村国家自主创新示范区发展建设规划》）落实工作。部署2023年度重点任务、重点项目、重点平台、重点政策制定，统筹推动年度工作计划实施。建立健全规划实施机制，完善规划实施动态监测、中期评估、总结评估机制。</w:t>
      </w:r>
    </w:p>
    <w:p w14:paraId="77C21A48">
      <w:pPr>
        <w:adjustRightInd w:val="0"/>
        <w:snapToGrid w:val="0"/>
        <w:spacing w:line="560" w:lineRule="exact"/>
        <w:ind w:firstLine="640" w:firstLineChars="200"/>
        <w:rPr>
          <w:rFonts w:hint="eastAsia"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同时在市科委户头预算更加突出：一是积极打造国家战略科技力量。按照“四个面向”原则，紧跟世界科技发展大势，着力打造战略科技力量，推进在京国家战略力量体系化发展，持续支持量子信息科学研究院、脑科学与类脑研究中心等世界一流新型研发机构建设，推动京津冀国家技术创新中心、数源数字化城市研究中心等机构发展建设。</w:t>
      </w:r>
    </w:p>
    <w:p w14:paraId="6C77469F">
      <w:pPr>
        <w:adjustRightInd w:val="0"/>
        <w:snapToGrid w:val="0"/>
        <w:spacing w:line="560" w:lineRule="exact"/>
        <w:ind w:firstLine="640" w:firstLineChars="200"/>
        <w:rPr>
          <w:rFonts w:hint="eastAsia"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二是加强基础研究和关键核心技术攻关。立足实现高水平科技自立自强，加强基础研究和原始创新，开展“卡脖子”关键核心技术攻关，聚焦区块链等前沿领域，支持建设由领军企业牵头的创新联合体，推动建设一批共性技术平台，持续打造新一代信息技术和医药健康产业“双发动机”，推进新材料与智能制造产业和科技服务业发展，着力培育高精尖产业新动能。</w:t>
      </w:r>
    </w:p>
    <w:p w14:paraId="36DD3561">
      <w:pPr>
        <w:adjustRightInd w:val="0"/>
        <w:snapToGrid w:val="0"/>
        <w:spacing w:line="560" w:lineRule="exact"/>
        <w:ind w:firstLine="640" w:firstLineChars="200"/>
        <w:rPr>
          <w:rFonts w:hint="eastAsia" w:ascii="仿宋_GB2312" w:hAnsi="仿宋" w:eastAsia="仿宋_GB2312"/>
          <w:bCs/>
          <w:color w:val="000000" w:themeColor="text1"/>
          <w:sz w:val="32"/>
          <w:szCs w:val="32"/>
          <w14:textFill>
            <w14:solidFill>
              <w14:schemeClr w14:val="tx1"/>
            </w14:solidFill>
          </w14:textFill>
        </w:rPr>
      </w:pPr>
      <w:r>
        <w:rPr>
          <w:rFonts w:hint="eastAsia" w:ascii="仿宋_GB2312" w:hAnsi="仿宋" w:eastAsia="仿宋_GB2312"/>
          <w:bCs/>
          <w:color w:val="000000" w:themeColor="text1"/>
          <w:sz w:val="32"/>
          <w:szCs w:val="32"/>
          <w14:textFill>
            <w14:solidFill>
              <w14:schemeClr w14:val="tx1"/>
            </w14:solidFill>
          </w14:textFill>
        </w:rPr>
        <w:t>三是构建一流的创新生态环境。坚持“抓战略、抓改革、抓规划、抓服务”的定位，制定本市深化科技体制改革攻坚若干措施，优化重大科技项目立项和组织管理方式，推进科技成果评价改革，激发科技人才和广大创新主体活力。聚焦区域协同创新与城市科技创新，推进京津冀协同创新共同体建设，促进科技成果产业化，积极融入全球创新网络。积极推进国际科技创新中心综合立法。</w:t>
      </w:r>
    </w:p>
    <w:p w14:paraId="5F558834">
      <w:pPr>
        <w:adjustRightInd w:val="0"/>
        <w:snapToGrid w:val="0"/>
        <w:spacing w:line="560" w:lineRule="exact"/>
        <w:ind w:firstLine="640" w:firstLineChars="200"/>
        <w:rPr>
          <w:rFonts w:hint="eastAsia" w:ascii="仿宋_GB2312" w:hAnsi="仿宋" w:eastAsia="仿宋_GB2312"/>
          <w:color w:val="0000FF"/>
          <w:sz w:val="32"/>
          <w:szCs w:val="32"/>
        </w:rPr>
      </w:pPr>
      <w:r>
        <w:rPr>
          <w:rFonts w:hint="eastAsia" w:ascii="仿宋_GB2312" w:hAnsi="仿宋" w:eastAsia="仿宋_GB2312"/>
          <w:color w:val="000000" w:themeColor="text1"/>
          <w:sz w:val="32"/>
          <w:szCs w:val="32"/>
          <w14:textFill>
            <w14:solidFill>
              <w14:schemeClr w14:val="tx1"/>
            </w14:solidFill>
          </w14:textFill>
        </w:rPr>
        <w:t>根据总体目标并结合工作重点，我委从国家战略科技力量培育、加强原创性引领性科技攻关，突破关键核心技术、科技人才、城市科技创新等方面设定了绩效指标，指标设定与全委职能任务匹配，符合相关法律法规的要求及部门整体支出的客观实际，目标依据充分，具有一定的可操作性和可实现性。</w:t>
      </w:r>
    </w:p>
    <w:p w14:paraId="6F57150B">
      <w:pPr>
        <w:pStyle w:val="3"/>
        <w:keepNext w:val="0"/>
        <w:keepLines w:val="0"/>
        <w:adjustRightInd w:val="0"/>
        <w:snapToGrid w:val="0"/>
        <w:spacing w:before="0" w:after="0" w:line="560" w:lineRule="exact"/>
        <w:ind w:firstLine="640" w:firstLineChars="200"/>
        <w:rPr>
          <w:rFonts w:hint="eastAsia" w:ascii="黑体" w:hAnsi="黑体" w:eastAsia="黑体"/>
          <w:b w:val="0"/>
          <w:bCs w:val="0"/>
        </w:rPr>
      </w:pPr>
      <w:bookmarkStart w:id="4" w:name="_Toc6298"/>
      <w:r>
        <w:rPr>
          <w:rFonts w:hint="eastAsia" w:ascii="黑体" w:hAnsi="黑体" w:eastAsia="黑体"/>
          <w:b w:val="0"/>
          <w:bCs w:val="0"/>
        </w:rPr>
        <w:t>二、当年预算执行情况</w:t>
      </w:r>
      <w:bookmarkEnd w:id="4"/>
    </w:p>
    <w:p w14:paraId="7ACF453F">
      <w:pPr>
        <w:adjustRightInd w:val="0"/>
        <w:snapToGrid w:val="0"/>
        <w:spacing w:line="560" w:lineRule="exact"/>
        <w:ind w:firstLine="640" w:firstLineChars="200"/>
        <w:rPr>
          <w:rFonts w:hint="eastAsia" w:ascii="仿宋_GB2312" w:hAnsi="仿宋" w:eastAsia="仿宋_GB2312"/>
          <w:color w:val="000000" w:themeColor="text1"/>
          <w:sz w:val="32"/>
          <w:szCs w:val="32"/>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2023年全年预算数1,352,347.60万元。其中，基本支出预算数34,024.17万元，项目支出预算数1,314,533.33万元，经营支出预算数3,790.10万元。资金总体支出1,114,961.99万元，其中，基本支出28,892.20万元，项目支出1,082,279.69万元，经营支出3,790.10万元，预算执行率为82.45%。</w:t>
      </w:r>
    </w:p>
    <w:p w14:paraId="7CA084A2">
      <w:pPr>
        <w:pStyle w:val="3"/>
        <w:keepNext w:val="0"/>
        <w:keepLines w:val="0"/>
        <w:adjustRightInd w:val="0"/>
        <w:snapToGrid w:val="0"/>
        <w:spacing w:before="0" w:after="0" w:line="560" w:lineRule="exact"/>
        <w:ind w:firstLine="640" w:firstLineChars="200"/>
        <w:rPr>
          <w:rFonts w:hint="eastAsia" w:ascii="黑体" w:hAnsi="黑体" w:eastAsia="黑体"/>
          <w:b w:val="0"/>
          <w:bCs w:val="0"/>
        </w:rPr>
      </w:pPr>
      <w:bookmarkStart w:id="5" w:name="_Toc19954"/>
      <w:r>
        <w:rPr>
          <w:rFonts w:hint="eastAsia" w:ascii="黑体" w:hAnsi="黑体" w:eastAsia="黑体"/>
          <w:b w:val="0"/>
          <w:bCs w:val="0"/>
        </w:rPr>
        <w:t>三、整体绩效目标实现情况</w:t>
      </w:r>
      <w:bookmarkEnd w:id="5"/>
      <w:r>
        <w:rPr>
          <w:rFonts w:ascii="黑体" w:hAnsi="黑体" w:eastAsia="黑体"/>
          <w:b w:val="0"/>
          <w:bCs w:val="0"/>
        </w:rPr>
        <w:tab/>
      </w:r>
    </w:p>
    <w:p w14:paraId="350D39B5">
      <w:pPr>
        <w:adjustRightInd w:val="0"/>
        <w:snapToGrid w:val="0"/>
        <w:spacing w:line="560" w:lineRule="exact"/>
        <w:ind w:firstLine="640" w:firstLineChars="200"/>
        <w:rPr>
          <w:rFonts w:ascii="仿宋_GB2312" w:hAnsi="Times New Roman" w:eastAsia="仿宋_GB2312"/>
          <w:sz w:val="32"/>
          <w:szCs w:val="32"/>
        </w:rPr>
      </w:pPr>
      <w:r>
        <w:rPr>
          <w:rFonts w:hint="eastAsia" w:ascii="仿宋_GB2312" w:hAnsi="仿宋" w:eastAsia="仿宋_GB2312"/>
          <w:sz w:val="32"/>
          <w:szCs w:val="32"/>
        </w:rPr>
        <w:t>2023年我委按照部门职责，确定了年度重点工作任务，明确了任务目标及牵头处室，根据年度重点工作任务安排项目预算。我委按照《北京市财政局关于</w:t>
      </w:r>
      <w:r>
        <w:rPr>
          <w:rFonts w:ascii="仿宋_GB2312" w:hAnsi="仿宋" w:eastAsia="仿宋_GB2312"/>
          <w:sz w:val="32"/>
          <w:szCs w:val="32"/>
        </w:rPr>
        <w:t>2024年推</w:t>
      </w:r>
      <w:r>
        <w:rPr>
          <w:rFonts w:hint="eastAsia" w:ascii="仿宋_GB2312" w:hAnsi="Times New Roman" w:eastAsia="仿宋_GB2312"/>
          <w:sz w:val="32"/>
          <w:szCs w:val="32"/>
        </w:rPr>
        <w:t>进全面实施预算绩效管理工作的通知》</w:t>
      </w:r>
      <w:r>
        <w:rPr>
          <w:rFonts w:hint="eastAsia" w:ascii="仿宋_GB2312" w:eastAsia="仿宋_GB2312"/>
          <w:sz w:val="32"/>
          <w:szCs w:val="32"/>
        </w:rPr>
        <w:t>要求，</w:t>
      </w:r>
      <w:r>
        <w:rPr>
          <w:rFonts w:hint="eastAsia" w:ascii="仿宋_GB2312" w:hAnsi="仿宋" w:eastAsia="仿宋_GB2312"/>
          <w:sz w:val="32"/>
          <w:szCs w:val="32"/>
        </w:rPr>
        <w:t>制定《</w:t>
      </w:r>
      <w:r>
        <w:rPr>
          <w:rFonts w:ascii="仿宋_GB2312" w:hAnsi="仿宋" w:eastAsia="仿宋_GB2312"/>
          <w:sz w:val="32"/>
          <w:szCs w:val="32"/>
        </w:rPr>
        <w:t>2024</w:t>
      </w:r>
      <w:r>
        <w:rPr>
          <w:rFonts w:hint="eastAsia" w:ascii="仿宋_GB2312" w:hAnsi="仿宋" w:eastAsia="仿宋_GB2312"/>
          <w:sz w:val="32"/>
          <w:szCs w:val="32"/>
        </w:rPr>
        <w:t>年预算绩效管理工作方案》，</w:t>
      </w:r>
      <w:r>
        <w:rPr>
          <w:rFonts w:hint="eastAsia" w:ascii="仿宋_GB2312" w:eastAsia="仿宋_GB2312"/>
          <w:sz w:val="32"/>
          <w:szCs w:val="32"/>
        </w:rPr>
        <w:t>对2023年度部门项目支出实施绩效自评，</w:t>
      </w:r>
      <w:r>
        <w:rPr>
          <w:rFonts w:hint="eastAsia" w:ascii="仿宋_GB2312" w:hAnsi="Times New Roman" w:eastAsia="仿宋_GB2312"/>
          <w:sz w:val="32"/>
          <w:szCs w:val="32"/>
        </w:rPr>
        <w:t>评价项目</w:t>
      </w:r>
      <w:r>
        <w:rPr>
          <w:rFonts w:hint="eastAsia" w:ascii="仿宋_GB2312" w:hAnsi="仿宋" w:eastAsia="仿宋_GB2312"/>
          <w:sz w:val="32"/>
          <w:szCs w:val="32"/>
        </w:rPr>
        <w:t>121个，涉及金额530,556.04万元。单位自评项目121个，评价得分在90（含）-100分的89个、评价得分在8</w:t>
      </w:r>
      <w:r>
        <w:rPr>
          <w:rFonts w:hint="eastAsia" w:ascii="仿宋_GB2312" w:hAnsi="Times New Roman" w:eastAsia="仿宋_GB2312"/>
          <w:sz w:val="32"/>
          <w:szCs w:val="32"/>
        </w:rPr>
        <w:t>0（含）-90分的32个、评价得分在60（含）-80分的0个。</w:t>
      </w:r>
    </w:p>
    <w:p w14:paraId="576B9C29">
      <w:pPr>
        <w:pStyle w:val="3"/>
        <w:adjustRightInd w:val="0"/>
        <w:snapToGrid w:val="0"/>
        <w:spacing w:before="0" w:after="0" w:line="560" w:lineRule="exact"/>
        <w:ind w:firstLine="640" w:firstLineChars="200"/>
        <w:rPr>
          <w:rFonts w:hint="eastAsia" w:ascii="楷体" w:hAnsi="楷体" w:eastAsia="楷体"/>
          <w:b w:val="0"/>
          <w:bCs w:val="0"/>
        </w:rPr>
      </w:pPr>
      <w:bookmarkStart w:id="6" w:name="_Toc26049"/>
      <w:r>
        <w:rPr>
          <w:rFonts w:hint="eastAsia" w:ascii="楷体" w:hAnsi="楷体" w:eastAsia="楷体"/>
          <w:b w:val="0"/>
          <w:bCs w:val="0"/>
        </w:rPr>
        <w:t>（一）产出完成情况分析</w:t>
      </w:r>
      <w:bookmarkEnd w:id="6"/>
    </w:p>
    <w:p w14:paraId="5652AEB4">
      <w:pPr>
        <w:pStyle w:val="14"/>
        <w:adjustRightInd w:val="0"/>
        <w:snapToGrid w:val="0"/>
        <w:spacing w:line="560" w:lineRule="exact"/>
        <w:ind w:firstLine="643"/>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1.深入推进中关村新一轮先行先试改革</w:t>
      </w:r>
    </w:p>
    <w:p w14:paraId="3D05191D">
      <w:pPr>
        <w:pStyle w:val="14"/>
        <w:adjustRightInd w:val="0"/>
        <w:snapToGrid w:val="0"/>
        <w:spacing w:line="560" w:lineRule="exact"/>
        <w:ind w:firstLine="640"/>
        <w:rPr>
          <w:rFonts w:hint="eastAsia" w:ascii="仿宋_GB2312" w:hAnsi="仿宋" w:eastAsia="仿宋_GB2312"/>
          <w:sz w:val="32"/>
          <w:szCs w:val="32"/>
        </w:rPr>
      </w:pPr>
      <w:r>
        <w:rPr>
          <w:rFonts w:hint="eastAsia" w:ascii="仿宋_GB2312" w:hAnsi="仿宋_GB2312" w:eastAsia="仿宋_GB2312" w:cs="仿宋_GB2312"/>
          <w:color w:val="000000"/>
          <w:sz w:val="32"/>
          <w:szCs w:val="32"/>
        </w:rPr>
        <w:t>增强改革统筹协同，</w:t>
      </w:r>
      <w:r>
        <w:rPr>
          <w:rFonts w:hint="eastAsia" w:ascii="仿宋_GB2312" w:hAnsi="仿宋" w:eastAsia="仿宋_GB2312"/>
          <w:sz w:val="32"/>
          <w:szCs w:val="32"/>
        </w:rPr>
        <w:t>会同25个国家部门设立中关村先行先试改革专项小组，建立协同工作机制，合力推动改革落实；组织召开改革动员部署会，制定改革落实方案，建立落实工作台账，强化统筹推进督促落实。</w:t>
      </w:r>
      <w:r>
        <w:rPr>
          <w:rFonts w:hint="eastAsia" w:ascii="仿宋_GB2312" w:hAnsi="仿宋_GB2312" w:eastAsia="仿宋_GB2312" w:cs="仿宋_GB2312"/>
          <w:sz w:val="32"/>
          <w:szCs w:val="32"/>
        </w:rPr>
        <w:t>加强改革成效总结评估，</w:t>
      </w:r>
      <w:r>
        <w:rPr>
          <w:rFonts w:hint="eastAsia" w:ascii="仿宋_GB2312" w:hAnsi="仿宋" w:eastAsia="仿宋_GB2312"/>
          <w:sz w:val="32"/>
          <w:szCs w:val="32"/>
        </w:rPr>
        <w:t>推动国家和市级部门累计出台50余项配套政策，在部分领域和关键环节实现重大突破；持续组织开展改革配套政策宣传宣讲，让创新主体熟悉、掌握和用好政策；</w:t>
      </w:r>
      <w:r>
        <w:rPr>
          <w:rFonts w:hint="eastAsia" w:ascii="仿宋_GB2312" w:hAnsi="仿宋_GB2312" w:eastAsia="仿宋_GB2312" w:cs="仿宋_GB2312"/>
          <w:sz w:val="32"/>
          <w:szCs w:val="32"/>
        </w:rPr>
        <w:t>开展改革落实第三方评估，及时总结改革阶段性进展成效，财税、人才等试点成熟的改革措施已在中关村示范区全域</w:t>
      </w:r>
      <w:r>
        <w:rPr>
          <w:rFonts w:hint="eastAsia" w:ascii="仿宋_GB2312" w:hAnsi="仿宋_GB2312" w:eastAsia="仿宋_GB2312" w:cs="仿宋_GB2312"/>
          <w:color w:val="000000"/>
          <w:sz w:val="32"/>
          <w:szCs w:val="32"/>
        </w:rPr>
        <w:t>乃至更大范围</w:t>
      </w:r>
      <w:r>
        <w:rPr>
          <w:rFonts w:hint="eastAsia" w:ascii="仿宋_GB2312" w:hAnsi="仿宋_GB2312" w:eastAsia="仿宋_GB2312" w:cs="仿宋_GB2312"/>
          <w:sz w:val="32"/>
          <w:szCs w:val="32"/>
        </w:rPr>
        <w:t>推广实施</w:t>
      </w:r>
      <w:r>
        <w:rPr>
          <w:rFonts w:hint="eastAsia" w:ascii="仿宋_GB2312" w:hAnsi="仿宋" w:eastAsia="仿宋_GB2312"/>
          <w:sz w:val="32"/>
          <w:szCs w:val="32"/>
        </w:rPr>
        <w:t>。</w:t>
      </w:r>
      <w:r>
        <w:rPr>
          <w:rFonts w:hint="eastAsia" w:ascii="仿宋_GB2312" w:hAnsi="仿宋_GB2312" w:eastAsia="仿宋_GB2312" w:cs="仿宋_GB2312"/>
          <w:sz w:val="32"/>
          <w:szCs w:val="32"/>
        </w:rPr>
        <w:t>持续推出改革政策建议，</w:t>
      </w:r>
      <w:r>
        <w:rPr>
          <w:rFonts w:hint="eastAsia" w:ascii="仿宋_GB2312" w:hAnsi="仿宋" w:eastAsia="仿宋_GB2312"/>
          <w:sz w:val="32"/>
          <w:szCs w:val="32"/>
        </w:rPr>
        <w:t>瞄准实现高水平科技自立自强探索新的改革举措，持续研究新的先行先试改革政策建议，纳入中关村世界领先科技园区建设方案并推动出台。</w:t>
      </w:r>
    </w:p>
    <w:p w14:paraId="07A152B1">
      <w:pPr>
        <w:pStyle w:val="14"/>
        <w:adjustRightInd w:val="0"/>
        <w:snapToGrid w:val="0"/>
        <w:spacing w:line="560" w:lineRule="exact"/>
        <w:ind w:firstLine="643"/>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2.统筹实施“一计划两规划”</w:t>
      </w:r>
    </w:p>
    <w:p w14:paraId="52EE0C05">
      <w:pPr>
        <w:pStyle w:val="14"/>
        <w:adjustRightInd w:val="0"/>
        <w:snapToGrid w:val="0"/>
        <w:spacing w:line="560" w:lineRule="exact"/>
        <w:ind w:firstLine="640"/>
        <w:rPr>
          <w:rFonts w:hint="eastAsia" w:ascii="仿宋_GB2312" w:hAnsi="仿宋" w:eastAsia="仿宋_GB2312"/>
          <w:sz w:val="32"/>
          <w:szCs w:val="32"/>
        </w:rPr>
      </w:pPr>
      <w:r>
        <w:rPr>
          <w:rFonts w:hint="eastAsia" w:ascii="仿宋_GB2312" w:hAnsi="仿宋" w:eastAsia="仿宋_GB2312"/>
          <w:sz w:val="32"/>
          <w:szCs w:val="32"/>
        </w:rPr>
        <w:t>印发实施《综合性科技发展规划统筹推进工作办法（试行）》，进一步规范“编制-实施-项目-年度监测-中期评估-五年评估”的规划工作流程，形成规划全周期工作体系。印发实施2023年年度计划，结合新形势新要求，将2023年工作计划分解为8大方面30项重大任务，推动2023年工作计划预期目标顺利完成。按照全市规划工作要求，完成《北京市“十四五”时期国际科技创新中心建设规划》《“十四五”时期中关村国家自主创新示范区规划》规划中期评估，系统梳理规划各项任务落实情况。经评估，两项规划任务完成率总体超过50%，符合“时间过半、任务过半”目标要求。</w:t>
      </w:r>
    </w:p>
    <w:p w14:paraId="114FECBE">
      <w:pPr>
        <w:pStyle w:val="14"/>
        <w:adjustRightInd w:val="0"/>
        <w:snapToGrid w:val="0"/>
        <w:spacing w:line="560" w:lineRule="exact"/>
        <w:ind w:firstLine="643"/>
        <w:rPr>
          <w:rFonts w:hint="eastAsia" w:ascii="仿宋_GB2312" w:hAnsi="仿宋" w:eastAsia="仿宋_GB2312"/>
          <w:b/>
          <w:bCs/>
          <w:sz w:val="32"/>
          <w:szCs w:val="32"/>
        </w:rPr>
      </w:pPr>
      <w:r>
        <w:rPr>
          <w:rFonts w:ascii="仿宋_GB2312" w:hAnsi="仿宋" w:eastAsia="仿宋_GB2312"/>
          <w:b/>
          <w:bCs/>
          <w:sz w:val="32"/>
          <w:szCs w:val="32"/>
        </w:rPr>
        <w:t>3.</w:t>
      </w:r>
      <w:r>
        <w:rPr>
          <w:rFonts w:hint="eastAsia" w:ascii="仿宋_GB2312" w:hAnsi="仿宋" w:eastAsia="仿宋_GB2312"/>
          <w:b/>
          <w:bCs/>
          <w:sz w:val="32"/>
          <w:szCs w:val="32"/>
        </w:rPr>
        <w:t>国家战略科技力量不断发展壮大</w:t>
      </w:r>
    </w:p>
    <w:p w14:paraId="4239EF18">
      <w:pPr>
        <w:pStyle w:val="19"/>
        <w:adjustRightInd w:val="0"/>
        <w:snapToGrid w:val="0"/>
        <w:spacing w:line="560" w:lineRule="exact"/>
        <w:ind w:firstLine="640" w:firstLineChars="200"/>
        <w:rPr>
          <w:shd w:val="clear" w:color="auto" w:fill="FFFFFF"/>
        </w:rPr>
      </w:pPr>
      <w:r>
        <w:rPr>
          <w:rFonts w:hint="eastAsia" w:ascii="仿宋_GB2312" w:hAnsi="仿宋" w:cs="Times New Roman"/>
          <w:szCs w:val="32"/>
        </w:rPr>
        <w:t>推进和保障国家战略科技力量高质量发展，市级科研配套经费全部落实到位。支持国家战略力量优化重组，在京国家战略力量达77家，占全国总量28.1%。谋划布局市级国家战略力量，出台本市国家战略力量认定管理办法。出台北京市支持世界一流新型研发机构高质量发展实施办法，支持脑科学研究所等8家世界一流新型研发机构在</w:t>
      </w:r>
      <w:r>
        <w:rPr>
          <w:rFonts w:hint="eastAsia" w:ascii="仿宋_GB2312" w:hAnsi="微软雅黑"/>
          <w:spacing w:val="8"/>
          <w:szCs w:val="32"/>
          <w:shd w:val="clear" w:color="auto" w:fill="FFFFFF"/>
        </w:rPr>
        <w:t>量子信息、关键新材料</w:t>
      </w:r>
      <w:r>
        <w:rPr>
          <w:rFonts w:hint="eastAsia" w:ascii="仿宋_GB2312" w:hAnsi="仿宋" w:cs="Times New Roman"/>
          <w:szCs w:val="32"/>
        </w:rPr>
        <w:t>等领域取得一批重大创新成果，如自</w:t>
      </w:r>
      <w:r>
        <w:rPr>
          <w:rFonts w:hint="eastAsia" w:ascii="仿宋_GB2312" w:hAnsi="微软雅黑"/>
          <w:szCs w:val="32"/>
        </w:rPr>
        <w:t>长安链隐私计算开放平台</w:t>
      </w:r>
      <w:r>
        <w:rPr>
          <w:rFonts w:hint="eastAsia" w:ascii="仿宋_GB2312" w:hAnsi="仿宋" w:cs="Times New Roman"/>
          <w:szCs w:val="32"/>
        </w:rPr>
        <w:t>。</w:t>
      </w:r>
      <w:r>
        <w:rPr>
          <w:rFonts w:hint="eastAsia"/>
        </w:rPr>
        <w:t>原创性引领性科技攻关取得新突破。</w:t>
      </w:r>
      <w:r>
        <w:rPr>
          <w:rFonts w:hint="eastAsia"/>
          <w:shd w:val="clear" w:color="auto" w:fill="FFFFFF"/>
        </w:rPr>
        <w:t>聚焦基础研究和前沿技术研发，涌现出超大规模智能模</w:t>
      </w:r>
      <w:r>
        <w:rPr>
          <w:rFonts w:hint="eastAsia" w:ascii="仿宋_GB2312" w:hAnsi="仿宋_GB2312" w:cs="仿宋_GB2312"/>
          <w:shd w:val="clear" w:color="auto" w:fill="FFFFFF"/>
        </w:rPr>
        <w:t>型“悟道3.0</w:t>
      </w:r>
      <w:r>
        <w:rPr>
          <w:rFonts w:hint="eastAsia"/>
          <w:shd w:val="clear" w:color="auto" w:fill="FFFFFF"/>
        </w:rPr>
        <w:t>”、新一代量子计算云平台等重大创新成果。</w:t>
      </w:r>
    </w:p>
    <w:p w14:paraId="43963CCB">
      <w:pPr>
        <w:pStyle w:val="19"/>
        <w:adjustRightInd w:val="0"/>
        <w:snapToGrid w:val="0"/>
        <w:spacing w:line="560" w:lineRule="exact"/>
        <w:ind w:firstLine="640" w:firstLineChars="200"/>
        <w:rPr>
          <w:b/>
          <w:bCs/>
        </w:rPr>
      </w:pPr>
      <w:r>
        <w:rPr>
          <w:rFonts w:hint="eastAsia"/>
          <w:shd w:val="clear" w:color="auto" w:fill="FFFFFF"/>
        </w:rPr>
        <w:t>4</w:t>
      </w:r>
      <w:r>
        <w:rPr>
          <w:rFonts w:hint="eastAsia"/>
          <w:b/>
          <w:bCs/>
        </w:rPr>
        <w:t>.自然科学基金资助体系不断优化</w:t>
      </w:r>
    </w:p>
    <w:p w14:paraId="75A6FFC0">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坚持“四个面向”，聚焦国家战略、聚焦北京需求、聚焦发展前沿，组织实施好自然科学基金资助相关工作。优化完善基金资助体系，共设置前沿与交叉类、需求导向类和青年人才创新能力提升类等</w:t>
      </w:r>
      <w:r>
        <w:rPr>
          <w:rFonts w:ascii="仿宋_GB2312" w:eastAsia="仿宋_GB2312"/>
          <w:sz w:val="32"/>
          <w:szCs w:val="32"/>
        </w:rPr>
        <w:t>3</w:t>
      </w:r>
      <w:r>
        <w:rPr>
          <w:rFonts w:hint="eastAsia" w:ascii="仿宋_GB2312" w:eastAsia="仿宋_GB2312"/>
          <w:sz w:val="32"/>
          <w:szCs w:val="32"/>
        </w:rPr>
        <w:t>种资助类型，</w:t>
      </w:r>
      <w:r>
        <w:rPr>
          <w:rFonts w:ascii="仿宋_GB2312" w:eastAsia="仿宋_GB2312"/>
          <w:sz w:val="32"/>
          <w:szCs w:val="32"/>
        </w:rPr>
        <w:t>11</w:t>
      </w:r>
      <w:r>
        <w:rPr>
          <w:rFonts w:hint="eastAsia" w:ascii="仿宋_GB2312" w:eastAsia="仿宋_GB2312"/>
          <w:sz w:val="32"/>
          <w:szCs w:val="32"/>
        </w:rPr>
        <w:t>种项目。全年共受理申请</w:t>
      </w:r>
      <w:r>
        <w:rPr>
          <w:rFonts w:ascii="仿宋_GB2312" w:eastAsia="仿宋_GB2312"/>
          <w:sz w:val="32"/>
          <w:szCs w:val="32"/>
        </w:rPr>
        <w:t>11868</w:t>
      </w:r>
      <w:r>
        <w:rPr>
          <w:rFonts w:hint="eastAsia" w:ascii="仿宋_GB2312" w:eastAsia="仿宋_GB2312"/>
          <w:sz w:val="32"/>
          <w:szCs w:val="32"/>
        </w:rPr>
        <w:t>项，资助</w:t>
      </w:r>
      <w:r>
        <w:rPr>
          <w:rFonts w:ascii="仿宋_GB2312" w:eastAsia="仿宋_GB2312"/>
          <w:sz w:val="32"/>
          <w:szCs w:val="32"/>
        </w:rPr>
        <w:t>1684</w:t>
      </w:r>
      <w:r>
        <w:rPr>
          <w:rFonts w:hint="eastAsia" w:ascii="仿宋_GB2312" w:eastAsia="仿宋_GB2312"/>
          <w:sz w:val="32"/>
          <w:szCs w:val="32"/>
        </w:rPr>
        <w:t>项，立项经费</w:t>
      </w:r>
      <w:r>
        <w:rPr>
          <w:rFonts w:ascii="仿宋_GB2312" w:eastAsia="仿宋_GB2312"/>
          <w:sz w:val="32"/>
          <w:szCs w:val="32"/>
        </w:rPr>
        <w:t>5.67</w:t>
      </w:r>
      <w:r>
        <w:rPr>
          <w:rFonts w:hint="eastAsia" w:ascii="仿宋_GB2312" w:eastAsia="仿宋_GB2312"/>
          <w:sz w:val="32"/>
          <w:szCs w:val="32"/>
        </w:rPr>
        <w:t>亿元。验收</w:t>
      </w:r>
      <w:r>
        <w:rPr>
          <w:rFonts w:ascii="仿宋_GB2312" w:eastAsia="仿宋_GB2312"/>
          <w:sz w:val="32"/>
          <w:szCs w:val="32"/>
        </w:rPr>
        <w:t>866</w:t>
      </w:r>
      <w:r>
        <w:rPr>
          <w:rFonts w:hint="eastAsia" w:ascii="仿宋_GB2312" w:eastAsia="仿宋_GB2312"/>
          <w:sz w:val="32"/>
          <w:szCs w:val="32"/>
        </w:rPr>
        <w:t>项项目，获国际专利授权</w:t>
      </w:r>
      <w:r>
        <w:rPr>
          <w:rFonts w:ascii="仿宋_GB2312" w:eastAsia="仿宋_GB2312"/>
          <w:sz w:val="32"/>
          <w:szCs w:val="32"/>
        </w:rPr>
        <w:t>35</w:t>
      </w:r>
      <w:r>
        <w:rPr>
          <w:rFonts w:hint="eastAsia" w:ascii="仿宋_GB2312" w:eastAsia="仿宋_GB2312"/>
          <w:sz w:val="32"/>
          <w:szCs w:val="32"/>
        </w:rPr>
        <w:t>项、国内专利授权</w:t>
      </w:r>
      <w:r>
        <w:rPr>
          <w:rFonts w:ascii="仿宋_GB2312" w:eastAsia="仿宋_GB2312"/>
          <w:sz w:val="32"/>
          <w:szCs w:val="32"/>
        </w:rPr>
        <w:t>756</w:t>
      </w:r>
      <w:r>
        <w:rPr>
          <w:rFonts w:hint="eastAsia" w:ascii="仿宋_GB2312" w:eastAsia="仿宋_GB2312"/>
          <w:sz w:val="32"/>
          <w:szCs w:val="32"/>
        </w:rPr>
        <w:t>项，</w:t>
      </w:r>
      <w:r>
        <w:rPr>
          <w:rFonts w:ascii="仿宋_GB2312" w:eastAsia="仿宋_GB2312"/>
          <w:sz w:val="32"/>
          <w:szCs w:val="32"/>
        </w:rPr>
        <w:t>1533</w:t>
      </w:r>
      <w:r>
        <w:rPr>
          <w:rFonts w:hint="eastAsia" w:ascii="仿宋_GB2312" w:eastAsia="仿宋_GB2312"/>
          <w:sz w:val="32"/>
          <w:szCs w:val="32"/>
        </w:rPr>
        <w:t>篇</w:t>
      </w:r>
      <w:r>
        <w:rPr>
          <w:rFonts w:ascii="仿宋_GB2312" w:eastAsia="仿宋_GB2312"/>
          <w:sz w:val="32"/>
          <w:szCs w:val="32"/>
        </w:rPr>
        <w:t>TOP</w:t>
      </w:r>
      <w:r>
        <w:rPr>
          <w:rFonts w:hint="eastAsia" w:ascii="仿宋_GB2312" w:eastAsia="仿宋_GB2312"/>
          <w:sz w:val="32"/>
          <w:szCs w:val="32"/>
        </w:rPr>
        <w:t>期刊论文，项目团队获国家级一等奖</w:t>
      </w:r>
      <w:r>
        <w:rPr>
          <w:rFonts w:ascii="仿宋_GB2312" w:eastAsia="仿宋_GB2312"/>
          <w:sz w:val="32"/>
          <w:szCs w:val="32"/>
        </w:rPr>
        <w:t>7</w:t>
      </w:r>
      <w:r>
        <w:rPr>
          <w:rFonts w:hint="eastAsia" w:ascii="仿宋_GB2312" w:eastAsia="仿宋_GB2312"/>
          <w:sz w:val="32"/>
          <w:szCs w:val="32"/>
        </w:rPr>
        <w:t>项、二等奖</w:t>
      </w:r>
      <w:r>
        <w:rPr>
          <w:rFonts w:ascii="仿宋_GB2312" w:eastAsia="仿宋_GB2312"/>
          <w:sz w:val="32"/>
          <w:szCs w:val="32"/>
        </w:rPr>
        <w:t>6</w:t>
      </w:r>
      <w:r>
        <w:rPr>
          <w:rFonts w:hint="eastAsia" w:ascii="仿宋_GB2312" w:eastAsia="仿宋_GB2312"/>
          <w:sz w:val="32"/>
          <w:szCs w:val="32"/>
        </w:rPr>
        <w:t>项，省部级一等奖66项。</w:t>
      </w:r>
    </w:p>
    <w:p w14:paraId="22AE57F2">
      <w:pPr>
        <w:adjustRightInd w:val="0"/>
        <w:snapToGrid w:val="0"/>
        <w:spacing w:line="560" w:lineRule="exact"/>
        <w:ind w:firstLine="643" w:firstLineChars="200"/>
        <w:rPr>
          <w:rFonts w:ascii="仿宋_GB2312" w:eastAsia="仿宋_GB2312"/>
          <w:b/>
          <w:bCs/>
          <w:sz w:val="32"/>
          <w:szCs w:val="32"/>
        </w:rPr>
      </w:pPr>
      <w:r>
        <w:rPr>
          <w:rFonts w:hint="eastAsia" w:ascii="仿宋_GB2312" w:eastAsia="仿宋_GB2312"/>
          <w:b/>
          <w:bCs/>
          <w:sz w:val="32"/>
          <w:szCs w:val="32"/>
        </w:rPr>
        <w:t>5.加快推动高水平人才高地建设</w:t>
      </w:r>
    </w:p>
    <w:p w14:paraId="1570A7AC">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2023年组织开展科技新星遴选工作，支持创新新星150名，创业新星10名，交叉合作课题92项；累计支持科技新星</w:t>
      </w:r>
      <w:r>
        <w:rPr>
          <w:rFonts w:ascii="仿宋_GB2312" w:eastAsia="仿宋_GB2312"/>
          <w:sz w:val="32"/>
          <w:szCs w:val="32"/>
        </w:rPr>
        <w:t>3137</w:t>
      </w:r>
      <w:r>
        <w:rPr>
          <w:rFonts w:hint="eastAsia" w:ascii="仿宋_GB2312" w:eastAsia="仿宋_GB2312"/>
          <w:sz w:val="32"/>
          <w:szCs w:val="32"/>
        </w:rPr>
        <w:t>名，其中13名成长为两院院士。强化政策导向和地方特色，优化提名机制、创新专家遴选工作，圆满完成了科技奖励2022年度评审和2023年度提名、初审工作，2022年度人物奖授奖21人，项目奖授奖188项；2023年度人物奖建议授奖19人，项目奖建议授奖196项。</w:t>
      </w:r>
    </w:p>
    <w:p w14:paraId="1DDD3346">
      <w:pPr>
        <w:pStyle w:val="14"/>
        <w:adjustRightInd w:val="0"/>
        <w:snapToGrid w:val="0"/>
        <w:spacing w:line="560" w:lineRule="exact"/>
        <w:ind w:firstLine="643"/>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6</w:t>
      </w:r>
      <w:r>
        <w:rPr>
          <w:rFonts w:ascii="仿宋_GB2312" w:hAnsi="仿宋_GB2312" w:eastAsia="仿宋_GB2312" w:cs="仿宋_GB2312"/>
          <w:b/>
          <w:bCs/>
          <w:color w:val="000000"/>
          <w:sz w:val="32"/>
          <w:szCs w:val="32"/>
        </w:rPr>
        <w:t>.</w:t>
      </w:r>
      <w:r>
        <w:rPr>
          <w:rFonts w:hint="eastAsia" w:ascii="仿宋_GB2312" w:hAnsi="仿宋_GB2312" w:eastAsia="仿宋_GB2312" w:cs="仿宋_GB2312"/>
          <w:b/>
          <w:bCs/>
          <w:color w:val="000000"/>
          <w:sz w:val="32"/>
          <w:szCs w:val="32"/>
        </w:rPr>
        <w:t>区域协同创新与城市科技创新取得新进</w:t>
      </w:r>
      <w:r>
        <w:rPr>
          <w:rFonts w:hint="eastAsia" w:ascii="仿宋_GB2312" w:hAnsi="仿宋_GB2312" w:eastAsia="仿宋_GB2312" w:cs="仿宋_GB2312"/>
          <w:color w:val="000000"/>
          <w:sz w:val="32"/>
          <w:szCs w:val="32"/>
        </w:rPr>
        <w:t>展</w:t>
      </w:r>
    </w:p>
    <w:p w14:paraId="4A04CA56">
      <w:pPr>
        <w:pStyle w:val="14"/>
        <w:adjustRightInd w:val="0"/>
        <w:snapToGrid w:val="0"/>
        <w:spacing w:line="56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积极推动京津冀协同创新共同体建设，正式挂牌雄安新区中关村科技园，牵头成立京津冀国家高新区联盟，加快建设京津冀国家技术创新中心</w:t>
      </w:r>
      <w:r>
        <w:rPr>
          <w:rFonts w:hint="eastAsia" w:ascii="仿宋_GB2312" w:hAnsi="仿宋_GB2312" w:eastAsia="仿宋_GB2312" w:cs="仿宋_GB2312"/>
          <w:color w:val="000000"/>
          <w:sz w:val="32"/>
          <w:szCs w:val="32"/>
        </w:rPr>
        <w:t>。举办京津冀“火花”活动12场，推介成果34项。</w:t>
      </w:r>
      <w:r>
        <w:rPr>
          <w:rFonts w:hint="eastAsia" w:ascii="仿宋_GB2312" w:hAnsi="仿宋_GB2312" w:eastAsia="仿宋_GB2312" w:cs="仿宋_GB2312"/>
          <w:sz w:val="32"/>
          <w:szCs w:val="32"/>
        </w:rPr>
        <w:t>2023年北京流向津冀技术合同6758项，同比增长14.9%，成交额748.7亿元，同比增长109.8%。</w:t>
      </w:r>
    </w:p>
    <w:p w14:paraId="34D33124">
      <w:pPr>
        <w:pStyle w:val="14"/>
        <w:adjustRightInd w:val="0"/>
        <w:snapToGrid w:val="0"/>
        <w:spacing w:line="560" w:lineRule="exact"/>
        <w:ind w:firstLine="640"/>
        <w:rPr>
          <w:rFonts w:ascii="仿宋_GB2312" w:eastAsia="仿宋_GB2312"/>
          <w:sz w:val="32"/>
          <w:szCs w:val="32"/>
        </w:rPr>
      </w:pPr>
      <w:r>
        <w:rPr>
          <w:rFonts w:hint="eastAsia" w:ascii="仿宋_GB2312" w:eastAsia="仿宋_GB2312"/>
          <w:sz w:val="32"/>
          <w:szCs w:val="32"/>
        </w:rPr>
        <w:t>科技赋能城市精细化管理。</w:t>
      </w:r>
      <w:r>
        <w:rPr>
          <w:rFonts w:hint="eastAsia" w:ascii="仿宋_GB2312" w:hAnsi="等线" w:eastAsia="仿宋_GB2312" w:cs="仿宋_GB2312"/>
          <w:sz w:val="32"/>
          <w:szCs w:val="32"/>
          <w:lang w:bidi="ar"/>
        </w:rPr>
        <w:t>印发科技支撑灾后重建和产业发展三年行动方案，提升城市安全韧性运行能力。</w:t>
      </w:r>
      <w:r>
        <w:rPr>
          <w:rFonts w:hint="eastAsia" w:ascii="仿宋_GB2312" w:eastAsia="仿宋_GB2312"/>
          <w:sz w:val="32"/>
          <w:szCs w:val="32"/>
        </w:rPr>
        <w:t>科技支撑抗汛救灾和灾后重建，紧急支持互补型储能应急电源系统、暴雨洪涝灾害智能风险预警等5项科技攻关项目；</w:t>
      </w:r>
      <w:r>
        <w:rPr>
          <w:rFonts w:hint="eastAsia" w:ascii="仿宋_GB2312" w:eastAsia="仿宋_GB2312"/>
          <w:color w:val="000000"/>
          <w:sz w:val="32"/>
          <w:szCs w:val="32"/>
        </w:rPr>
        <w:t>围绕城市典型火灾易发风险源开展火灾风险防控关键技术装备研发与示范应用</w:t>
      </w:r>
      <w:r>
        <w:rPr>
          <w:rFonts w:hint="eastAsia" w:ascii="仿宋_GB2312" w:eastAsia="仿宋_GB2312"/>
          <w:sz w:val="32"/>
          <w:szCs w:val="32"/>
        </w:rPr>
        <w:t>。聚焦信息服务数据中心低碳运行、民用建筑低碳化改造等典型场景，加强绿色低碳关键技术攻关。聚焦公共安全与应急、轨道交通领域，开展7项关键核心技术攻关。推动智慧养老科技赋能，形成沉浸式老年服务机器人、智能健康监测及社交数字伴侣等一批高智能、高品质助老产品。</w:t>
      </w:r>
    </w:p>
    <w:p w14:paraId="2510FB23">
      <w:pPr>
        <w:pStyle w:val="3"/>
        <w:adjustRightInd w:val="0"/>
        <w:snapToGrid w:val="0"/>
        <w:spacing w:before="0" w:after="0" w:line="560" w:lineRule="exact"/>
        <w:ind w:firstLine="640" w:firstLineChars="200"/>
        <w:rPr>
          <w:rFonts w:hint="eastAsia" w:ascii="楷体" w:hAnsi="楷体" w:eastAsia="楷体"/>
          <w:b w:val="0"/>
          <w:bCs w:val="0"/>
        </w:rPr>
      </w:pPr>
      <w:bookmarkStart w:id="7" w:name="_Toc16834"/>
      <w:r>
        <w:rPr>
          <w:rFonts w:hint="eastAsia" w:ascii="楷体" w:hAnsi="楷体" w:eastAsia="楷体"/>
          <w:b w:val="0"/>
          <w:bCs w:val="0"/>
        </w:rPr>
        <w:t>（二）效果实现情况分析</w:t>
      </w:r>
      <w:bookmarkEnd w:id="7"/>
    </w:p>
    <w:p w14:paraId="177F2504">
      <w:pPr>
        <w:pStyle w:val="9"/>
        <w:adjustRightInd w:val="0"/>
        <w:spacing w:line="560" w:lineRule="exact"/>
        <w:ind w:firstLine="643" w:firstLineChars="200"/>
        <w:rPr>
          <w:rFonts w:hint="eastAsia" w:ascii="仿宋_GB2312" w:hAnsi="仿宋_GB2312" w:eastAsia="仿宋_GB2312" w:cs="仿宋_GB2312"/>
          <w:b/>
          <w:bCs/>
        </w:rPr>
      </w:pPr>
      <w:r>
        <w:rPr>
          <w:rFonts w:ascii="仿宋_GB2312" w:hAnsi="仿宋_GB2312" w:eastAsia="仿宋_GB2312" w:cs="仿宋_GB2312"/>
          <w:b/>
          <w:bCs/>
          <w:sz w:val="32"/>
          <w:szCs w:val="32"/>
        </w:rPr>
        <w:t>1.经济效益</w:t>
      </w:r>
    </w:p>
    <w:p w14:paraId="03BBBFE2">
      <w:pPr>
        <w:pStyle w:val="14"/>
        <w:adjustRightInd w:val="0"/>
        <w:snapToGrid w:val="0"/>
        <w:spacing w:line="560" w:lineRule="exact"/>
        <w:ind w:firstLine="640"/>
        <w:rPr>
          <w:rFonts w:ascii="仿宋_GB2312" w:hAnsi="Segoe UI" w:eastAsia="仿宋_GB2312" w:cs="Segoe UI"/>
          <w:color w:val="232930"/>
          <w:sz w:val="32"/>
          <w:szCs w:val="32"/>
          <w:shd w:val="clear" w:color="auto" w:fill="FFFFFF"/>
        </w:rPr>
      </w:pPr>
      <w:r>
        <w:rPr>
          <w:rFonts w:hint="eastAsia" w:ascii="仿宋_GB2312" w:hAnsi="Segoe UI" w:eastAsia="仿宋_GB2312" w:cs="Segoe UI"/>
          <w:color w:val="232930"/>
          <w:sz w:val="32"/>
          <w:szCs w:val="32"/>
          <w:shd w:val="clear" w:color="auto" w:fill="FFFFFF"/>
        </w:rPr>
        <w:t>2023年全社会研究与试验发展（R&amp;D）投入强度保持在6%左右；全市2023年发明专利授权量10.8万件，比上年增长22.4%；技术合同成交额8536.9亿元，增长7.4%；全年新认定国家高新技术企业1.08万家，累计有效国家高新技术企业2.83万家；2023年，中关村示范区实现技术收入2.49万亿元，企业口径同比增长17.1%。</w:t>
      </w:r>
    </w:p>
    <w:p w14:paraId="54BCE1C5">
      <w:pPr>
        <w:pStyle w:val="14"/>
        <w:adjustRightInd w:val="0"/>
        <w:snapToGrid w:val="0"/>
        <w:spacing w:line="560" w:lineRule="exact"/>
        <w:ind w:firstLine="640"/>
        <w:rPr>
          <w:rFonts w:hint="eastAsia" w:ascii="仿宋_GB2312" w:hAnsi="仿宋_GB2312" w:eastAsia="仿宋_GB2312" w:cs="仿宋_GB2312"/>
          <w:color w:val="FF0000"/>
          <w:sz w:val="32"/>
          <w:szCs w:val="32"/>
        </w:rPr>
      </w:pPr>
      <w:r>
        <w:rPr>
          <w:rFonts w:hint="eastAsia" w:ascii="仿宋_GB2312" w:hAnsi="Segoe UI" w:eastAsia="仿宋_GB2312" w:cs="Segoe UI"/>
          <w:color w:val="232930"/>
          <w:sz w:val="32"/>
          <w:szCs w:val="32"/>
          <w:shd w:val="clear" w:color="auto" w:fill="FFFFFF"/>
        </w:rPr>
        <w:t>科技创新提升高精尖产业核心竞争力。2023年医药健康产业规模达9761亿元，同比增长</w:t>
      </w:r>
      <w:r>
        <w:rPr>
          <w:rFonts w:ascii="仿宋_GB2312" w:hAnsi="Segoe UI" w:eastAsia="仿宋_GB2312" w:cs="Segoe UI"/>
          <w:color w:val="232930"/>
          <w:sz w:val="32"/>
          <w:szCs w:val="32"/>
          <w:shd w:val="clear" w:color="auto" w:fill="FFFFFF"/>
        </w:rPr>
        <w:t>9.47</w:t>
      </w:r>
      <w:r>
        <w:rPr>
          <w:rFonts w:hint="eastAsia" w:ascii="仿宋_GB2312" w:hAnsi="Segoe UI" w:eastAsia="仿宋_GB2312" w:cs="Segoe UI"/>
          <w:color w:val="232930"/>
          <w:sz w:val="32"/>
          <w:szCs w:val="32"/>
          <w:shd w:val="clear" w:color="auto" w:fill="FFFFFF"/>
        </w:rPr>
        <w:t>%；</w:t>
      </w:r>
      <w:r>
        <w:rPr>
          <w:rFonts w:ascii="仿宋_GB2312" w:hAnsi="Segoe UI" w:eastAsia="仿宋_GB2312" w:cs="Segoe UI"/>
          <w:color w:val="232930"/>
          <w:sz w:val="32"/>
          <w:szCs w:val="32"/>
          <w:shd w:val="clear" w:color="auto" w:fill="FFFFFF"/>
        </w:rPr>
        <w:t>2023</w:t>
      </w:r>
      <w:r>
        <w:rPr>
          <w:rFonts w:hint="eastAsia" w:ascii="仿宋_GB2312" w:hAnsi="Segoe UI" w:eastAsia="仿宋_GB2312" w:cs="Segoe UI"/>
          <w:color w:val="232930"/>
          <w:sz w:val="32"/>
          <w:szCs w:val="32"/>
          <w:shd w:val="clear" w:color="auto" w:fill="FFFFFF"/>
        </w:rPr>
        <w:t>年科技服务业规模以上企业营收</w:t>
      </w:r>
      <w:r>
        <w:rPr>
          <w:rFonts w:ascii="仿宋_GB2312" w:hAnsi="Segoe UI" w:eastAsia="仿宋_GB2312" w:cs="Segoe UI"/>
          <w:color w:val="232930"/>
          <w:sz w:val="32"/>
          <w:szCs w:val="32"/>
          <w:shd w:val="clear" w:color="auto" w:fill="FFFFFF"/>
        </w:rPr>
        <w:t>7512.12</w:t>
      </w:r>
      <w:r>
        <w:rPr>
          <w:rFonts w:hint="eastAsia" w:ascii="仿宋_GB2312" w:hAnsi="Segoe UI" w:eastAsia="仿宋_GB2312" w:cs="Segoe UI"/>
          <w:color w:val="232930"/>
          <w:sz w:val="32"/>
          <w:szCs w:val="32"/>
          <w:shd w:val="clear" w:color="auto" w:fill="FFFFFF"/>
        </w:rPr>
        <w:t>亿元，同比增速</w:t>
      </w:r>
      <w:r>
        <w:rPr>
          <w:rFonts w:ascii="仿宋_GB2312" w:hAnsi="Segoe UI" w:eastAsia="仿宋_GB2312" w:cs="Segoe UI"/>
          <w:color w:val="232930"/>
          <w:sz w:val="32"/>
          <w:szCs w:val="32"/>
          <w:shd w:val="clear" w:color="auto" w:fill="FFFFFF"/>
        </w:rPr>
        <w:t>3.4%</w:t>
      </w:r>
      <w:r>
        <w:rPr>
          <w:rFonts w:hint="eastAsia" w:ascii="仿宋_GB2312" w:hAnsi="Segoe UI" w:eastAsia="仿宋_GB2312" w:cs="Segoe UI"/>
          <w:color w:val="232930"/>
          <w:sz w:val="32"/>
          <w:szCs w:val="32"/>
          <w:shd w:val="clear" w:color="auto" w:fill="FFFFFF"/>
        </w:rPr>
        <w:t>。</w:t>
      </w:r>
      <w:r>
        <w:rPr>
          <w:rFonts w:ascii="仿宋_GB2312" w:hAnsi="Segoe UI" w:eastAsia="仿宋_GB2312" w:cs="Segoe UI"/>
          <w:color w:val="232930"/>
          <w:sz w:val="32"/>
          <w:szCs w:val="32"/>
          <w:shd w:val="clear" w:color="auto" w:fill="FFFFFF"/>
        </w:rPr>
        <w:t>2023</w:t>
      </w:r>
      <w:r>
        <w:rPr>
          <w:rFonts w:hint="eastAsia" w:ascii="仿宋_GB2312" w:hAnsi="Segoe UI" w:eastAsia="仿宋_GB2312" w:cs="Segoe UI"/>
          <w:color w:val="232930"/>
          <w:sz w:val="32"/>
          <w:szCs w:val="32"/>
          <w:shd w:val="clear" w:color="auto" w:fill="FFFFFF"/>
        </w:rPr>
        <w:t>年科学研究与技术服务业固定资产投资目标为</w:t>
      </w:r>
      <w:r>
        <w:rPr>
          <w:rFonts w:ascii="仿宋_GB2312" w:hAnsi="Segoe UI" w:eastAsia="仿宋_GB2312" w:cs="Segoe UI"/>
          <w:color w:val="232930"/>
          <w:sz w:val="32"/>
          <w:szCs w:val="32"/>
          <w:shd w:val="clear" w:color="auto" w:fill="FFFFFF"/>
        </w:rPr>
        <w:t>135</w:t>
      </w:r>
      <w:r>
        <w:rPr>
          <w:rFonts w:hint="eastAsia" w:ascii="仿宋_GB2312" w:hAnsi="Segoe UI" w:eastAsia="仿宋_GB2312" w:cs="Segoe UI"/>
          <w:color w:val="232930"/>
          <w:sz w:val="32"/>
          <w:szCs w:val="32"/>
          <w:shd w:val="clear" w:color="auto" w:fill="FFFFFF"/>
        </w:rPr>
        <w:t>亿元，实现固定资产投资</w:t>
      </w:r>
      <w:r>
        <w:rPr>
          <w:rFonts w:ascii="仿宋_GB2312" w:hAnsi="Segoe UI" w:eastAsia="仿宋_GB2312" w:cs="Segoe UI"/>
          <w:color w:val="232930"/>
          <w:sz w:val="32"/>
          <w:szCs w:val="32"/>
          <w:shd w:val="clear" w:color="auto" w:fill="FFFFFF"/>
        </w:rPr>
        <w:t>211.6</w:t>
      </w:r>
      <w:r>
        <w:rPr>
          <w:rFonts w:hint="eastAsia" w:ascii="仿宋_GB2312" w:hAnsi="Segoe UI" w:eastAsia="仿宋_GB2312" w:cs="Segoe UI"/>
          <w:color w:val="232930"/>
          <w:sz w:val="32"/>
          <w:szCs w:val="32"/>
          <w:shd w:val="clear" w:color="auto" w:fill="FFFFFF"/>
        </w:rPr>
        <w:t>亿元，完成年度任务目标的</w:t>
      </w:r>
      <w:r>
        <w:rPr>
          <w:rFonts w:ascii="仿宋_GB2312" w:hAnsi="Segoe UI" w:eastAsia="仿宋_GB2312" w:cs="Segoe UI"/>
          <w:color w:val="232930"/>
          <w:sz w:val="32"/>
          <w:szCs w:val="32"/>
          <w:shd w:val="clear" w:color="auto" w:fill="FFFFFF"/>
        </w:rPr>
        <w:t>156.7%</w:t>
      </w:r>
      <w:r>
        <w:rPr>
          <w:rFonts w:hint="eastAsia" w:ascii="仿宋_GB2312" w:hAnsi="Segoe UI" w:eastAsia="仿宋_GB2312" w:cs="Segoe UI"/>
          <w:color w:val="232930"/>
          <w:sz w:val="32"/>
          <w:szCs w:val="32"/>
          <w:shd w:val="clear" w:color="auto" w:fill="FFFFFF"/>
        </w:rPr>
        <w:t>。</w:t>
      </w:r>
    </w:p>
    <w:p w14:paraId="6D2E23E5">
      <w:pPr>
        <w:pStyle w:val="14"/>
        <w:adjustRightInd w:val="0"/>
        <w:snapToGrid w:val="0"/>
        <w:spacing w:line="560" w:lineRule="exact"/>
        <w:ind w:firstLine="643"/>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2.社会效益</w:t>
      </w:r>
    </w:p>
    <w:p w14:paraId="1E240686">
      <w:pPr>
        <w:pStyle w:val="14"/>
        <w:adjustRightInd w:val="0"/>
        <w:snapToGrid w:val="0"/>
        <w:spacing w:line="56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北京在施普林格·自然集团牵头发布的《国际科技创新中心指数2023》中位列全球第三，在世界知识产权组织全球百强科技创新集群排名中连续多年位居前列，连续7年位居自然集团“自然指数-科研城市”榜首。</w:t>
      </w:r>
    </w:p>
    <w:p w14:paraId="671AFFBF">
      <w:pPr>
        <w:pStyle w:val="14"/>
        <w:adjustRightInd w:val="0"/>
        <w:snapToGrid w:val="0"/>
        <w:spacing w:line="56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（1）国际科技创新中心建设顶层设计更加完善</w:t>
      </w:r>
    </w:p>
    <w:p w14:paraId="11D21DA7">
      <w:pPr>
        <w:pStyle w:val="14"/>
        <w:adjustRightInd w:val="0"/>
        <w:snapToGrid w:val="0"/>
        <w:spacing w:line="56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部市联合印发《深入贯彻落实习近平总书记重要批示精神加快推动北京国际科技创新中心建设的工作方案》。中央科技委第三次全体会议审议通过《关于新时期进一步加强北京国际科技创新中心建设的实施意见》。《北京国际科技创新中心建设条例》草案顺利通过市政府常务会议、市委常委会会议审议和市人大常委会三审。</w:t>
      </w:r>
    </w:p>
    <w:p w14:paraId="44C84C49">
      <w:pPr>
        <w:pStyle w:val="14"/>
        <w:adjustRightInd w:val="0"/>
        <w:snapToGrid w:val="0"/>
        <w:spacing w:line="56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（2）深化科技体制改革取得新进展</w:t>
      </w:r>
    </w:p>
    <w:p w14:paraId="53236456">
      <w:pPr>
        <w:pStyle w:val="14"/>
        <w:adjustRightInd w:val="0"/>
        <w:snapToGrid w:val="0"/>
        <w:spacing w:line="56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充分发挥市科技体制改革专项小组作用，推进完成全市30余项科技体制改革重点任务。印发实施本市科技计划项目（课题）管理办法，赋予科研人员更大的自主权。探索企业主导的产学研深度融合新范式，印发“揭榜挂帅”工作指引。完善科技评估评价体系，形成科技评估评价实务操作指引。</w:t>
      </w:r>
    </w:p>
    <w:p w14:paraId="0FCD0C97">
      <w:pPr>
        <w:pStyle w:val="14"/>
        <w:adjustRightInd w:val="0"/>
        <w:snapToGrid w:val="0"/>
        <w:spacing w:line="56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rPr>
        <w:t>）高精尖产业发展新动能持续增强</w:t>
      </w:r>
    </w:p>
    <w:p w14:paraId="4868AC0F">
      <w:pPr>
        <w:pStyle w:val="14"/>
        <w:adjustRightInd w:val="0"/>
        <w:snapToGrid w:val="0"/>
        <w:spacing w:line="56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印发互联网</w:t>
      </w:r>
      <w:r>
        <w:rPr>
          <w:rFonts w:ascii="仿宋_GB2312" w:hAnsi="仿宋_GB2312" w:eastAsia="仿宋_GB2312" w:cs="仿宋_GB2312"/>
          <w:sz w:val="32"/>
          <w:szCs w:val="32"/>
        </w:rPr>
        <w:t>3.0产业发展</w:t>
      </w:r>
      <w:r>
        <w:rPr>
          <w:rFonts w:hint="eastAsia" w:ascii="仿宋_GB2312" w:hAnsi="仿宋_GB2312" w:eastAsia="仿宋_GB2312" w:cs="仿宋_GB2312"/>
          <w:sz w:val="32"/>
          <w:szCs w:val="32"/>
        </w:rPr>
        <w:t>工作方案</w:t>
      </w:r>
      <w:r>
        <w:rPr>
          <w:rFonts w:ascii="仿宋_GB2312" w:hAnsi="仿宋_GB2312" w:eastAsia="仿宋_GB2312" w:cs="仿宋_GB2312"/>
          <w:sz w:val="32"/>
          <w:szCs w:val="32"/>
        </w:rPr>
        <w:t>、碳达峰碳中和科技创新行动、未来产业创新发展等产业政策。</w:t>
      </w:r>
      <w:r>
        <w:rPr>
          <w:rFonts w:hint="eastAsia" w:ascii="仿宋_GB2312" w:hAnsi="仿宋_GB2312" w:eastAsia="仿宋_GB2312" w:cs="仿宋_GB2312"/>
          <w:sz w:val="32"/>
          <w:szCs w:val="32"/>
        </w:rPr>
        <w:t>医药健康产业领域，培育</w:t>
      </w:r>
      <w:r>
        <w:rPr>
          <w:rFonts w:ascii="仿宋_GB2312" w:hAnsi="仿宋_GB2312" w:eastAsia="仿宋_GB2312" w:cs="仿宋_GB2312"/>
          <w:sz w:val="32"/>
          <w:szCs w:val="32"/>
        </w:rPr>
        <w:t>CGT</w:t>
      </w:r>
      <w:r>
        <w:rPr>
          <w:rFonts w:hint="eastAsia" w:ascii="仿宋_GB2312" w:hAnsi="仿宋_GB2312" w:eastAsia="仿宋_GB2312" w:cs="仿宋_GB2312"/>
          <w:sz w:val="32"/>
          <w:szCs w:val="32"/>
        </w:rPr>
        <w:t>、数字医疗等两大新兴产业，储备产业未来增量。市区联动打造</w:t>
      </w:r>
      <w:r>
        <w:rPr>
          <w:rFonts w:ascii="仿宋_GB2312" w:hAnsi="仿宋_GB2312" w:eastAsia="仿宋_GB2312" w:cs="仿宋_GB2312"/>
          <w:sz w:val="32"/>
          <w:szCs w:val="32"/>
        </w:rPr>
        <w:t>CGT</w:t>
      </w:r>
      <w:r>
        <w:rPr>
          <w:rFonts w:hint="eastAsia" w:ascii="仿宋_GB2312" w:hAnsi="仿宋_GB2312" w:eastAsia="仿宋_GB2312" w:cs="仿宋_GB2312"/>
          <w:sz w:val="32"/>
          <w:szCs w:val="32"/>
        </w:rPr>
        <w:t>产业集群，搭建工业级核酸合成、载体递送等关键技术平台，支持关键核心技术和品种的研发。促进数字医疗形成新增长点，推动一批数字医疗产品的研发，会同国家药监局器审中心、中检院搭建数字疗法注册检验、审评审批等技术平台，市区联动，为我市</w:t>
      </w:r>
      <w:r>
        <w:rPr>
          <w:rFonts w:ascii="仿宋_GB2312" w:hAnsi="仿宋_GB2312" w:eastAsia="仿宋_GB2312" w:cs="仿宋_GB2312"/>
          <w:sz w:val="32"/>
          <w:szCs w:val="32"/>
        </w:rPr>
        <w:t>AI</w:t>
      </w:r>
      <w:r>
        <w:rPr>
          <w:rFonts w:hint="eastAsia" w:ascii="仿宋_GB2312" w:hAnsi="仿宋_GB2312" w:eastAsia="仿宋_GB2312" w:cs="仿宋_GB2312"/>
          <w:sz w:val="32"/>
          <w:szCs w:val="32"/>
        </w:rPr>
        <w:t>辅助诊断产品提供示范场景。推动</w:t>
      </w:r>
      <w:r>
        <w:rPr>
          <w:rFonts w:hint="eastAsia" w:ascii="仿宋_GB2312" w:hAnsi="Segoe UI" w:eastAsia="仿宋_GB2312" w:cs="Segoe UI"/>
          <w:color w:val="232930"/>
          <w:sz w:val="32"/>
          <w:szCs w:val="32"/>
          <w:shd w:val="clear" w:color="auto" w:fill="FFFFFF"/>
        </w:rPr>
        <w:t>智能制造领域，加快人形机器人等技术攻关，推动小米机器人公司牵头，开发满足柔性制造场景应用需求的通用型人形机器人平台产品。推动智能网联汽车领域，围绕整车需求，推进汽车电子元器件自主化攻关，揭榜挂帅方式在全国范围遴选优势团队，支持模拟类、MCU类等10款汽车电子元器件研制及上车应用，形成专利10余项</w:t>
      </w:r>
      <w:r>
        <w:rPr>
          <w:rFonts w:hint="eastAsia" w:ascii="仿宋_GB2312" w:hAnsi="仿宋_GB2312" w:eastAsia="仿宋_GB2312" w:cs="仿宋_GB2312"/>
          <w:color w:val="000000"/>
          <w:sz w:val="32"/>
          <w:szCs w:val="32"/>
        </w:rPr>
        <w:t>。</w:t>
      </w:r>
      <w:r>
        <w:rPr>
          <w:rFonts w:hint="eastAsia" w:ascii="仿宋_GB2312" w:eastAsia="仿宋_GB2312"/>
          <w:sz w:val="32"/>
          <w:szCs w:val="32"/>
        </w:rPr>
        <w:t>推动科技服务业高质量发展，</w:t>
      </w:r>
      <w:r>
        <w:rPr>
          <w:rFonts w:ascii="仿宋_GB2312" w:eastAsia="仿宋_GB2312"/>
          <w:sz w:val="32"/>
          <w:szCs w:val="32"/>
        </w:rPr>
        <w:t>支持24家科技服务品牌机构、18个专业开放服务平台、44家科技服务机构在怀柔科学城、城市副中心</w:t>
      </w:r>
      <w:r>
        <w:rPr>
          <w:rFonts w:hint="eastAsia" w:ascii="仿宋_GB2312" w:eastAsia="仿宋_GB2312"/>
          <w:sz w:val="32"/>
          <w:szCs w:val="32"/>
        </w:rPr>
        <w:t>等</w:t>
      </w:r>
      <w:r>
        <w:rPr>
          <w:rFonts w:ascii="仿宋_GB2312" w:eastAsia="仿宋_GB2312"/>
          <w:sz w:val="32"/>
          <w:szCs w:val="32"/>
        </w:rPr>
        <w:t>集聚发展。促进文化科技深度融合</w:t>
      </w:r>
      <w:r>
        <w:rPr>
          <w:rFonts w:hint="eastAsia" w:ascii="仿宋_GB2312" w:eastAsia="仿宋_GB2312"/>
          <w:sz w:val="32"/>
          <w:szCs w:val="32"/>
        </w:rPr>
        <w:t>，</w:t>
      </w:r>
      <w:r>
        <w:rPr>
          <w:rFonts w:ascii="仿宋_GB2312" w:hAnsi="等线" w:eastAsia="仿宋_GB2312" w:cs="仿宋_GB2312"/>
          <w:sz w:val="32"/>
          <w:szCs w:val="32"/>
          <w:lang w:bidi="ar"/>
        </w:rPr>
        <w:t>成功举办2023中国科幻大</w:t>
      </w:r>
      <w:r>
        <w:rPr>
          <w:rFonts w:hint="eastAsia" w:ascii="仿宋_GB2312" w:hAnsi="等线" w:eastAsia="仿宋_GB2312" w:cs="仿宋_GB2312"/>
          <w:sz w:val="32"/>
          <w:szCs w:val="32"/>
          <w:lang w:bidi="ar"/>
        </w:rPr>
        <w:t>会。</w:t>
      </w:r>
    </w:p>
    <w:p w14:paraId="729DA5EB">
      <w:pPr>
        <w:pStyle w:val="14"/>
        <w:adjustRightInd w:val="0"/>
        <w:snapToGrid w:val="0"/>
        <w:spacing w:line="560" w:lineRule="exact"/>
        <w:ind w:firstLine="643"/>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3.服务对象满意度</w:t>
      </w:r>
    </w:p>
    <w:p w14:paraId="24F32CD9">
      <w:pPr>
        <w:adjustRightInd w:val="0"/>
        <w:snapToGrid w:val="0"/>
        <w:spacing w:line="560" w:lineRule="exact"/>
        <w:ind w:firstLine="640" w:firstLineChars="200"/>
        <w:rPr>
          <w:rFonts w:hint="eastAsia" w:ascii="仿宋_GB2312" w:hAnsi="宋体" w:eastAsia="仿宋_GB2312" w:cs="宋体"/>
          <w:sz w:val="32"/>
          <w:szCs w:val="32"/>
        </w:rPr>
      </w:pPr>
      <w:r>
        <w:rPr>
          <w:rFonts w:hint="eastAsia" w:ascii="仿宋_GB2312" w:hAnsi="宋体" w:eastAsia="仿宋_GB2312" w:cs="宋体"/>
          <w:sz w:val="32"/>
          <w:szCs w:val="32"/>
        </w:rPr>
        <w:t>北京市人民政府办公厅对我委2023年的绩效考评结果为97.33分，考评等次为“优秀”。</w:t>
      </w:r>
    </w:p>
    <w:p w14:paraId="200C39B4">
      <w:pPr>
        <w:pStyle w:val="3"/>
        <w:adjustRightInd w:val="0"/>
        <w:snapToGrid w:val="0"/>
        <w:spacing w:before="0" w:after="0" w:line="560" w:lineRule="exact"/>
        <w:ind w:firstLine="640" w:firstLineChars="200"/>
        <w:rPr>
          <w:rFonts w:hint="eastAsia" w:ascii="仿宋" w:hAnsi="仿宋" w:eastAsia="仿宋" w:cs="仿宋"/>
          <w:b w:val="0"/>
          <w:bCs w:val="0"/>
          <w:szCs w:val="36"/>
        </w:rPr>
      </w:pPr>
      <w:bookmarkStart w:id="8" w:name="_Toc8869"/>
      <w:r>
        <w:rPr>
          <w:rFonts w:hint="eastAsia" w:ascii="黑体" w:hAnsi="黑体" w:eastAsia="黑体"/>
          <w:b w:val="0"/>
          <w:bCs w:val="0"/>
        </w:rPr>
        <w:t>四、预算管理情况分析</w:t>
      </w:r>
      <w:bookmarkEnd w:id="8"/>
    </w:p>
    <w:p w14:paraId="100E8310">
      <w:pPr>
        <w:pStyle w:val="3"/>
        <w:adjustRightInd w:val="0"/>
        <w:snapToGrid w:val="0"/>
        <w:spacing w:before="0" w:after="0" w:line="560" w:lineRule="exact"/>
        <w:ind w:firstLine="640" w:firstLineChars="200"/>
        <w:rPr>
          <w:rFonts w:hint="eastAsia" w:ascii="楷体" w:hAnsi="楷体" w:eastAsia="楷体"/>
          <w:b w:val="0"/>
          <w:bCs w:val="0"/>
        </w:rPr>
      </w:pPr>
      <w:bookmarkStart w:id="9" w:name="_Toc17338"/>
      <w:r>
        <w:rPr>
          <w:rFonts w:hint="eastAsia" w:ascii="楷体" w:hAnsi="楷体" w:eastAsia="楷体"/>
          <w:b w:val="0"/>
          <w:bCs w:val="0"/>
        </w:rPr>
        <w:t>（一）财务管理</w:t>
      </w:r>
      <w:bookmarkEnd w:id="9"/>
    </w:p>
    <w:p w14:paraId="17C6BA08">
      <w:pPr>
        <w:adjustRightInd w:val="0"/>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1.财务管理制度完善健全</w:t>
      </w:r>
    </w:p>
    <w:p w14:paraId="3DDB87BE">
      <w:pPr>
        <w:adjustRightInd w:val="0"/>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为进一步提高全委财务管理能力和水平，</w:t>
      </w:r>
      <w:r>
        <w:rPr>
          <w:rFonts w:hint="default" w:ascii="仿宋_GB2312" w:hAnsi="仿宋" w:eastAsia="仿宋_GB2312"/>
          <w:sz w:val="32"/>
          <w:szCs w:val="32"/>
          <w:lang w:val="en-US"/>
        </w:rPr>
        <w:t>我委</w:t>
      </w:r>
      <w:r>
        <w:rPr>
          <w:rFonts w:hint="eastAsia" w:ascii="仿宋_GB2312" w:hAnsi="仿宋" w:eastAsia="仿宋_GB2312"/>
          <w:sz w:val="32"/>
          <w:szCs w:val="32"/>
        </w:rPr>
        <w:t>建立了完善的财务管理制度体系，从资金审批、预算管理、经费支出、资产管理、政府采购等方面对财务工作进行了规范监督，保障日常工作有章可循、稳步推进。</w:t>
      </w:r>
    </w:p>
    <w:p w14:paraId="29F35EC3">
      <w:pPr>
        <w:adjustRightInd w:val="0"/>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2.资金使用安全合规</w:t>
      </w:r>
    </w:p>
    <w:p w14:paraId="78873767">
      <w:pPr>
        <w:adjustRightInd w:val="0"/>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资金使用严格遵照国家法律法规和有关管理制度执行，资金拨付审批程序完整规范，资金使用安全合规。内部审计和监督机制完善，为资金高效安全的使用保驾护航。</w:t>
      </w:r>
    </w:p>
    <w:p w14:paraId="76655F14">
      <w:pPr>
        <w:adjustRightInd w:val="0"/>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3.会计基础信息完整准确</w:t>
      </w:r>
    </w:p>
    <w:p w14:paraId="29FD7B6D">
      <w:pPr>
        <w:adjustRightInd w:val="0"/>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在费用报销及合同付款过程中，严格审批原始凭证，对内容不全、手续不完备的原始凭证以及未审批完成的支出不予办理支付。</w:t>
      </w:r>
    </w:p>
    <w:p w14:paraId="7C74D37E">
      <w:pPr>
        <w:pStyle w:val="3"/>
        <w:keepNext w:val="0"/>
        <w:keepLines w:val="0"/>
        <w:widowControl/>
        <w:adjustRightInd w:val="0"/>
        <w:snapToGrid w:val="0"/>
        <w:spacing w:before="0" w:after="0" w:line="560" w:lineRule="exact"/>
        <w:ind w:firstLine="640" w:firstLineChars="200"/>
        <w:rPr>
          <w:rFonts w:hint="eastAsia" w:ascii="楷体" w:hAnsi="楷体" w:eastAsia="楷体"/>
          <w:b w:val="0"/>
          <w:bCs w:val="0"/>
        </w:rPr>
      </w:pPr>
      <w:bookmarkStart w:id="10" w:name="_Toc28144"/>
      <w:r>
        <w:rPr>
          <w:rFonts w:hint="eastAsia" w:ascii="楷体" w:hAnsi="楷体" w:eastAsia="楷体"/>
          <w:b w:val="0"/>
          <w:bCs w:val="0"/>
        </w:rPr>
        <w:t>（二）资产管理</w:t>
      </w:r>
      <w:bookmarkEnd w:id="10"/>
    </w:p>
    <w:p w14:paraId="28E2933E">
      <w:pPr>
        <w:adjustRightInd w:val="0"/>
        <w:snapToGrid w:val="0"/>
        <w:spacing w:line="560" w:lineRule="exact"/>
        <w:ind w:firstLine="640" w:firstLineChars="200"/>
        <w:rPr>
          <w:rFonts w:hint="eastAsia" w:ascii="仿宋_GB2312" w:hAnsi="仿宋" w:eastAsia="仿宋_GB2312"/>
          <w:sz w:val="32"/>
          <w:szCs w:val="32"/>
        </w:rPr>
      </w:pPr>
      <w:bookmarkStart w:id="11" w:name="_Toc31968"/>
      <w:r>
        <w:rPr>
          <w:rFonts w:hint="eastAsia" w:ascii="仿宋_GB2312" w:hAnsi="仿宋" w:eastAsia="仿宋_GB2312"/>
          <w:sz w:val="32"/>
          <w:szCs w:val="32"/>
        </w:rPr>
        <w:t>2023年我委进一步加强和完善资产管理，全面强化对国有资产的监管。一是开展固定资产盘点，摸清全委固定资产底数；二是落实资产监管责任，将固定资产监管责任落实到具体人员；三是对固定资产贴签，明确各资产“身份”。</w:t>
      </w:r>
    </w:p>
    <w:p w14:paraId="17377EC7">
      <w:pPr>
        <w:pStyle w:val="3"/>
        <w:keepNext w:val="0"/>
        <w:keepLines w:val="0"/>
        <w:widowControl/>
        <w:adjustRightInd w:val="0"/>
        <w:snapToGrid w:val="0"/>
        <w:spacing w:before="0" w:after="0" w:line="560" w:lineRule="exact"/>
        <w:ind w:firstLine="640" w:firstLineChars="200"/>
        <w:rPr>
          <w:rFonts w:hint="eastAsia" w:ascii="楷体" w:hAnsi="楷体" w:eastAsia="楷体"/>
          <w:b w:val="0"/>
          <w:bCs w:val="0"/>
        </w:rPr>
      </w:pPr>
      <w:r>
        <w:rPr>
          <w:rFonts w:hint="eastAsia" w:ascii="楷体" w:hAnsi="楷体" w:eastAsia="楷体"/>
          <w:b w:val="0"/>
          <w:bCs w:val="0"/>
        </w:rPr>
        <w:t>（三）绩效管理</w:t>
      </w:r>
      <w:bookmarkEnd w:id="11"/>
    </w:p>
    <w:p w14:paraId="4707562F">
      <w:pPr>
        <w:adjustRightInd w:val="0"/>
        <w:snapToGrid w:val="0"/>
        <w:spacing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我委高度重视绩效管理工作，将绩效理念深度融入预算编制、执行和监督全过程，构建事前、事中、事后绩效管理闭环系统，创新预算管理方式，扎实做好各项绩效管理工作。成立了由我委财务处牵头的预算绩效管理工作组，具体负责预算绩效管理工作的整体协调管理工作。各处室和所属各单位为绩效管理的具体实施单位，负责绩效目标申报、绩效监控和绩效自评等相关工作。</w:t>
      </w:r>
    </w:p>
    <w:p w14:paraId="7F822442">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一是加强绩效目标管理。按照市财政局要求，将2024年项目全部纳入绩效目标填报范围，完成了143个项目绩效目标申报表的审核及系统录入工作。</w:t>
      </w:r>
    </w:p>
    <w:p w14:paraId="3EB5FA5A">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二是开展事后绩效自评及事中绩效监控。对2022年</w:t>
      </w:r>
      <w:r>
        <w:rPr>
          <w:rFonts w:hint="eastAsia" w:ascii="仿宋_GB2312" w:eastAsia="仿宋_GB2312"/>
          <w:sz w:val="32"/>
          <w:szCs w:val="32"/>
        </w:rPr>
        <w:t>度部门项目支出实施绩效自评，</w:t>
      </w:r>
      <w:r>
        <w:rPr>
          <w:rFonts w:hint="eastAsia" w:ascii="仿宋_GB2312" w:hAnsi="Times New Roman" w:eastAsia="仿宋_GB2312"/>
          <w:sz w:val="32"/>
          <w:szCs w:val="32"/>
        </w:rPr>
        <w:t>评价项目</w:t>
      </w:r>
      <w:r>
        <w:rPr>
          <w:rFonts w:hint="eastAsia" w:ascii="仿宋_GB2312" w:hAnsi="仿宋" w:eastAsia="仿宋_GB2312"/>
          <w:sz w:val="32"/>
          <w:szCs w:val="32"/>
        </w:rPr>
        <w:t>128个，涉及金额420,014.76万元。单位自评项目128个，评价得分在90（含）-100分的102个、评价得分在8</w:t>
      </w:r>
      <w:r>
        <w:rPr>
          <w:rFonts w:hint="eastAsia" w:ascii="仿宋_GB2312" w:hAnsi="Times New Roman" w:eastAsia="仿宋_GB2312"/>
          <w:sz w:val="32"/>
          <w:szCs w:val="32"/>
        </w:rPr>
        <w:t>0（含）-90分的24个、评价得分在60（含）-80分的2个。</w:t>
      </w:r>
      <w:r>
        <w:rPr>
          <w:rFonts w:hint="eastAsia" w:ascii="仿宋_GB2312" w:hAnsi="仿宋_GB2312" w:eastAsia="仿宋_GB2312" w:cs="仿宋_GB2312"/>
          <w:sz w:val="32"/>
          <w:szCs w:val="32"/>
        </w:rPr>
        <w:t>2023年度绩效运行监控项目109个，涉及金额394,342.14万元。</w:t>
      </w:r>
    </w:p>
    <w:p w14:paraId="66522AA1">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三是开展成本预算绩效分析。对“外国专家管理服务及评价”项目开展成本绩效分析工作。通过对项目开展成本绩效分析工作，降低了项目的实施成本，节约了财政资金。</w:t>
      </w:r>
    </w:p>
    <w:p w14:paraId="793A5DD1">
      <w:pPr>
        <w:widowControl/>
        <w:adjustRightInd w:val="0"/>
        <w:snapToGrid w:val="0"/>
        <w:spacing w:line="560" w:lineRule="exact"/>
        <w:ind w:firstLine="640" w:firstLineChars="200"/>
      </w:pPr>
      <w:r>
        <w:rPr>
          <w:rFonts w:hint="eastAsia" w:ascii="仿宋_GB2312" w:hAnsi="仿宋_GB2312" w:eastAsia="仿宋_GB2312" w:cs="仿宋_GB2312"/>
          <w:sz w:val="32"/>
          <w:szCs w:val="32"/>
        </w:rPr>
        <w:t>四是</w:t>
      </w:r>
      <w:bookmarkStart w:id="12" w:name="_Toc18001"/>
      <w:r>
        <w:rPr>
          <w:rFonts w:hint="eastAsia" w:ascii="仿宋_GB2312" w:hAnsi="仿宋_GB2312" w:eastAsia="仿宋_GB2312" w:cs="仿宋_GB2312"/>
          <w:sz w:val="32"/>
          <w:szCs w:val="32"/>
        </w:rPr>
        <w:t>研究制定</w:t>
      </w:r>
      <w:bookmarkEnd w:id="12"/>
      <w:r>
        <w:rPr>
          <w:rFonts w:hint="eastAsia" w:ascii="仿宋_GB2312" w:hAnsi="仿宋_GB2312" w:eastAsia="仿宋_GB2312" w:cs="仿宋_GB2312"/>
          <w:sz w:val="32"/>
          <w:szCs w:val="32"/>
        </w:rPr>
        <w:t>北京市财政科技项目预算绩效指标库（核心推荐）。为深入贯彻落实中央及本市关于全面实施预算绩效管理的决策部署，完善科技领域财政预算绩效管理工作，我委会同市财政局，共同编制了《北京市财政科技项目预算绩效指标库（核心推荐）》。用以引导和规范市科委、中关村管委会各预算支出处室及所属预算事业单位等填报财政预算项目的年度预算绩效指标。</w:t>
      </w:r>
    </w:p>
    <w:p w14:paraId="4F2E1A61">
      <w:pPr>
        <w:pStyle w:val="3"/>
        <w:adjustRightInd w:val="0"/>
        <w:snapToGrid w:val="0"/>
        <w:spacing w:before="0" w:after="0" w:line="560" w:lineRule="exact"/>
        <w:ind w:firstLine="640" w:firstLineChars="200"/>
        <w:rPr>
          <w:rFonts w:hint="eastAsia" w:ascii="楷体" w:hAnsi="楷体" w:eastAsia="楷体"/>
          <w:b w:val="0"/>
          <w:bCs w:val="0"/>
        </w:rPr>
      </w:pPr>
      <w:bookmarkStart w:id="13" w:name="_Toc17801"/>
      <w:r>
        <w:rPr>
          <w:rFonts w:hint="eastAsia" w:ascii="楷体" w:hAnsi="楷体" w:eastAsia="楷体"/>
          <w:b w:val="0"/>
          <w:bCs w:val="0"/>
        </w:rPr>
        <w:t>（四）结转结余率</w:t>
      </w:r>
      <w:bookmarkEnd w:id="13"/>
    </w:p>
    <w:p w14:paraId="36B6D407">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2023年末结转结余237,942.57万元，占全年支出预算金额1,352,347.60万元的17.59%，较上年结转结余率29.51%，降低10个百分点。</w:t>
      </w:r>
    </w:p>
    <w:p w14:paraId="1EF0F3C0">
      <w:pPr>
        <w:pStyle w:val="3"/>
        <w:adjustRightInd w:val="0"/>
        <w:snapToGrid w:val="0"/>
        <w:spacing w:before="0" w:after="0" w:line="560" w:lineRule="exact"/>
        <w:ind w:firstLine="640" w:firstLineChars="200"/>
        <w:rPr>
          <w:rFonts w:hint="eastAsia" w:ascii="楷体" w:hAnsi="楷体" w:eastAsia="楷体"/>
          <w:b w:val="0"/>
          <w:bCs w:val="0"/>
        </w:rPr>
      </w:pPr>
      <w:bookmarkStart w:id="14" w:name="_Toc28814"/>
      <w:r>
        <w:rPr>
          <w:rFonts w:hint="eastAsia" w:ascii="楷体" w:hAnsi="楷体" w:eastAsia="楷体"/>
          <w:b w:val="0"/>
          <w:bCs w:val="0"/>
        </w:rPr>
        <w:t>（五）部门预决算差异</w:t>
      </w:r>
      <w:bookmarkEnd w:id="14"/>
    </w:p>
    <w:p w14:paraId="1CC3D31C">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2023年末决算支出1,114,961.99万元，年初预算收入609,726.04万元，部门预算决算差异率为82.86%，高于全市平均部门预决算差异率。</w:t>
      </w:r>
    </w:p>
    <w:p w14:paraId="1F86A228">
      <w:pPr>
        <w:pStyle w:val="3"/>
        <w:adjustRightInd w:val="0"/>
        <w:snapToGrid w:val="0"/>
        <w:spacing w:before="0" w:after="0" w:line="560" w:lineRule="exact"/>
        <w:ind w:firstLine="640" w:firstLineChars="200"/>
        <w:rPr>
          <w:rFonts w:hint="eastAsia" w:ascii="黑体" w:hAnsi="黑体" w:eastAsia="黑体"/>
          <w:b w:val="0"/>
          <w:bCs w:val="0"/>
        </w:rPr>
      </w:pPr>
      <w:bookmarkStart w:id="15" w:name="_Toc28719"/>
      <w:r>
        <w:rPr>
          <w:rFonts w:hint="eastAsia" w:ascii="黑体" w:hAnsi="黑体" w:eastAsia="黑体"/>
          <w:b w:val="0"/>
          <w:bCs w:val="0"/>
        </w:rPr>
        <w:t>五、总体评价结论</w:t>
      </w:r>
      <w:bookmarkEnd w:id="15"/>
    </w:p>
    <w:p w14:paraId="0B0788DD">
      <w:pPr>
        <w:adjustRightInd w:val="0"/>
        <w:snapToGrid w:val="0"/>
        <w:spacing w:line="560" w:lineRule="exact"/>
        <w:ind w:firstLine="640" w:firstLineChars="200"/>
        <w:outlineLvl w:val="1"/>
        <w:rPr>
          <w:rFonts w:hint="eastAsia" w:ascii="楷体" w:hAnsi="楷体" w:eastAsia="楷体" w:cs="楷体"/>
          <w:sz w:val="32"/>
          <w:szCs w:val="32"/>
        </w:rPr>
      </w:pPr>
      <w:bookmarkStart w:id="16" w:name="_Toc47"/>
      <w:bookmarkStart w:id="17" w:name="_Toc12473"/>
      <w:r>
        <w:rPr>
          <w:rFonts w:hint="eastAsia" w:ascii="楷体" w:hAnsi="楷体" w:eastAsia="楷体" w:cs="楷体"/>
          <w:sz w:val="32"/>
          <w:szCs w:val="32"/>
        </w:rPr>
        <w:t>（一）评价得分情况</w:t>
      </w:r>
      <w:bookmarkEnd w:id="16"/>
    </w:p>
    <w:p w14:paraId="3B1A3FD5">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本次部门整体绩效评价通过资料分析、专家评议等多种方式开展了全面、系统、客观的分析评价，最终得分为93.24分，综合评价等级为“优秀”。其中：当年预算执行情况16.49分，整体绩效目标实际情况58.75分，预算管理情况18分，具体评分见《北京市科学技术委员会2023年度部门整体绩效评价指标体系评分表》。</w:t>
      </w:r>
    </w:p>
    <w:p w14:paraId="790F9508">
      <w:pPr>
        <w:adjustRightInd w:val="0"/>
        <w:snapToGrid w:val="0"/>
        <w:spacing w:line="560" w:lineRule="exact"/>
        <w:ind w:firstLine="640" w:firstLineChars="200"/>
        <w:outlineLvl w:val="1"/>
        <w:rPr>
          <w:rFonts w:hint="eastAsia" w:ascii="楷体" w:hAnsi="楷体" w:eastAsia="楷体" w:cs="楷体"/>
          <w:sz w:val="32"/>
          <w:szCs w:val="32"/>
        </w:rPr>
      </w:pPr>
      <w:r>
        <w:rPr>
          <w:rFonts w:hint="eastAsia" w:ascii="楷体" w:hAnsi="楷体" w:eastAsia="楷体" w:cs="楷体"/>
          <w:sz w:val="32"/>
          <w:szCs w:val="32"/>
        </w:rPr>
        <w:t>（二）存在的问题及原因分析</w:t>
      </w:r>
      <w:bookmarkEnd w:id="17"/>
    </w:p>
    <w:p w14:paraId="65D55F1F">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1.</w:t>
      </w:r>
      <w:r>
        <w:rPr>
          <w:rFonts w:hint="eastAsia" w:ascii="仿宋_GB2312" w:hAnsi="仿宋_GB2312" w:eastAsia="仿宋_GB2312" w:cs="仿宋_GB2312"/>
          <w:sz w:val="32"/>
          <w:szCs w:val="32"/>
        </w:rPr>
        <w:t>项目绩效目标设置仍有待进一步优化</w:t>
      </w:r>
      <w:r>
        <w:rPr>
          <w:rFonts w:hint="eastAsia" w:ascii="仿宋_GB2312" w:eastAsia="仿宋_GB2312"/>
          <w:sz w:val="32"/>
          <w:szCs w:val="32"/>
        </w:rPr>
        <w:t>。个别项目绩效指标的细化程度及量化不足，效益指标设置较为宏观，导致绩效目标实现程度的可衡量性较弱，不能体现项目的直接效果。</w:t>
      </w:r>
    </w:p>
    <w:p w14:paraId="45AF14FC">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2.</w:t>
      </w:r>
      <w:r>
        <w:rPr>
          <w:rFonts w:hint="eastAsia" w:ascii="仿宋_GB2312" w:hAnsi="仿宋_GB2312" w:eastAsia="仿宋_GB2312" w:cs="仿宋_GB2312"/>
          <w:sz w:val="32"/>
          <w:szCs w:val="32"/>
        </w:rPr>
        <w:t>项目立项阶段的论证不够深入。资金规模相对较大、创新性较强的项目前期论证不够深入，项目预算编制的科学性、精准度有待进一步提高</w:t>
      </w:r>
      <w:r>
        <w:rPr>
          <w:rFonts w:hint="eastAsia" w:ascii="仿宋_GB2312" w:eastAsia="仿宋_GB2312"/>
          <w:sz w:val="32"/>
          <w:szCs w:val="32"/>
        </w:rPr>
        <w:t>。</w:t>
      </w:r>
    </w:p>
    <w:p w14:paraId="68C4D086">
      <w:pPr>
        <w:adjustRightInd w:val="0"/>
        <w:snapToGrid w:val="0"/>
        <w:spacing w:line="560" w:lineRule="exact"/>
        <w:ind w:firstLine="640" w:firstLineChars="200"/>
        <w:rPr>
          <w:rFonts w:ascii="仿宋_GB2312" w:eastAsia="仿宋_GB2312"/>
          <w:sz w:val="32"/>
          <w:szCs w:val="32"/>
        </w:rPr>
      </w:pPr>
      <w:r>
        <w:rPr>
          <w:rFonts w:hint="eastAsia" w:ascii="仿宋_GB2312" w:eastAsia="仿宋_GB2312"/>
          <w:sz w:val="32"/>
          <w:szCs w:val="32"/>
        </w:rPr>
        <w:t>3.项目绩效信息体现还不够充分。项目效益指标的实现情况缺乏材料支撑，体现项目绩效成果和满意度调查的统计分析还不够充分。此外科技类项目实施和产生效果的周期往往较长，与预算年度存在偏差，支持项目在预算绩效评价时尚未结题，效益效果尚未充分体现，使年度评价时的产出与预期产出存在差距。</w:t>
      </w:r>
    </w:p>
    <w:p w14:paraId="6180A1BC">
      <w:pPr>
        <w:pStyle w:val="3"/>
        <w:adjustRightInd w:val="0"/>
        <w:snapToGrid w:val="0"/>
        <w:spacing w:before="0" w:after="0" w:line="560" w:lineRule="exact"/>
        <w:ind w:firstLine="640" w:firstLineChars="200"/>
        <w:rPr>
          <w:rFonts w:hint="eastAsia" w:ascii="黑体" w:hAnsi="黑体" w:eastAsia="黑体"/>
          <w:b w:val="0"/>
          <w:bCs w:val="0"/>
        </w:rPr>
      </w:pPr>
      <w:bookmarkStart w:id="18" w:name="_Toc5610"/>
      <w:r>
        <w:rPr>
          <w:rFonts w:hint="eastAsia" w:ascii="黑体" w:hAnsi="黑体" w:eastAsia="黑体"/>
          <w:b w:val="0"/>
          <w:bCs w:val="0"/>
        </w:rPr>
        <w:t>六、措施建议</w:t>
      </w:r>
      <w:bookmarkEnd w:id="18"/>
    </w:p>
    <w:p w14:paraId="1EC98935">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（一）针对绩效目标设定中存在的问题，</w:t>
      </w:r>
      <w:bookmarkStart w:id="21" w:name="_GoBack"/>
      <w:bookmarkEnd w:id="21"/>
      <w:r>
        <w:rPr>
          <w:rFonts w:hint="eastAsia" w:ascii="仿宋_GB2312" w:hAnsi="仿宋_GB2312" w:eastAsia="仿宋_GB2312" w:cs="仿宋_GB2312"/>
          <w:sz w:val="32"/>
          <w:szCs w:val="32"/>
        </w:rPr>
        <w:t>我委于2023年组织开展了财政科技项目绩效指标研究工作，按照科研创新类、创新环境类、新型研发机构类、部门履职类等四大类项目分类梳理并制定分行业分领域指标体系，并已应用于2024年预算编制。</w:t>
      </w:r>
    </w:p>
    <w:p w14:paraId="34A17CEA">
      <w:pPr>
        <w:adjustRightInd w:val="0"/>
        <w:snapToGrid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eastAsia="仿宋_GB2312"/>
          <w:sz w:val="32"/>
          <w:szCs w:val="32"/>
        </w:rPr>
        <w:t>进一步提升部门管理水平。根据部门的工作重点，对预算资金合理排序，统筹兼顾，保障重点，加强项目的深入调研，增强预算资金与工作需求的匹配程度。</w:t>
      </w:r>
    </w:p>
    <w:p w14:paraId="3241DB80">
      <w:pPr>
        <w:adjustRightInd w:val="0"/>
        <w:snapToGrid w:val="0"/>
        <w:spacing w:line="560" w:lineRule="exact"/>
        <w:ind w:firstLine="640" w:firstLineChars="200"/>
        <w:rPr>
          <w:rFonts w:hint="eastAsia" w:ascii="仿宋_GB2312" w:hAnsi="方正仿宋_GBK" w:eastAsia="仿宋_GB2312" w:cs="方正仿宋_GBK"/>
          <w:sz w:val="32"/>
          <w:szCs w:val="32"/>
        </w:rPr>
      </w:pPr>
      <w:r>
        <w:rPr>
          <w:rFonts w:hint="eastAsia" w:ascii="仿宋_GB2312" w:hAnsi="仿宋_GB2312" w:eastAsia="仿宋_GB2312" w:cs="仿宋_GB2312"/>
          <w:sz w:val="32"/>
          <w:szCs w:val="32"/>
        </w:rPr>
        <w:t>（三）进一步加强绩效成果应用，不断提高财政资金科学化、精细化管理水平，提高财政资金支出效益。针对实施周期较长的项目探索建立绩效信息的跟踪机制，加强对绩效成果的跟踪及统计分析。综合运用比较数据从多个层面反映项目绩效实现情况</w:t>
      </w:r>
      <w:r>
        <w:rPr>
          <w:rFonts w:hint="eastAsia" w:ascii="仿宋_GB2312" w:hAnsi="方正仿宋_GBK" w:eastAsia="仿宋_GB2312" w:cs="方正仿宋_GBK"/>
          <w:sz w:val="32"/>
          <w:szCs w:val="32"/>
        </w:rPr>
        <w:t>。注重后续的绩效评估和总结，争取形成能推广、可复制的经验。</w:t>
      </w:r>
    </w:p>
    <w:p w14:paraId="238E83B6">
      <w:pPr>
        <w:pStyle w:val="3"/>
        <w:adjustRightInd w:val="0"/>
        <w:snapToGrid w:val="0"/>
        <w:spacing w:before="0" w:after="0" w:line="560" w:lineRule="exact"/>
        <w:ind w:firstLine="640" w:firstLineChars="200"/>
        <w:rPr>
          <w:rFonts w:hint="eastAsia" w:ascii="黑体" w:hAnsi="黑体" w:eastAsia="黑体"/>
          <w:b w:val="0"/>
          <w:bCs w:val="0"/>
        </w:rPr>
      </w:pPr>
      <w:bookmarkStart w:id="19" w:name="_Toc30877"/>
      <w:bookmarkStart w:id="20" w:name="_Toc103006301"/>
      <w:r>
        <w:rPr>
          <w:rFonts w:hint="eastAsia" w:ascii="黑体" w:hAnsi="黑体" w:eastAsia="黑体"/>
          <w:b w:val="0"/>
          <w:bCs w:val="0"/>
        </w:rPr>
        <w:t>七、附件</w:t>
      </w:r>
      <w:bookmarkEnd w:id="19"/>
      <w:bookmarkEnd w:id="20"/>
    </w:p>
    <w:p w14:paraId="2D5F982A">
      <w:pPr>
        <w:pStyle w:val="9"/>
        <w:adjustRightInd w:val="0"/>
        <w:spacing w:line="560" w:lineRule="exact"/>
        <w:ind w:firstLine="640" w:firstLineChars="200"/>
      </w:pPr>
      <w:r>
        <w:rPr>
          <w:rFonts w:hint="eastAsia" w:ascii="仿宋_GB2312" w:hAnsi="仿宋_GB2312" w:eastAsia="仿宋_GB2312" w:cs="仿宋_GB2312"/>
          <w:sz w:val="32"/>
          <w:szCs w:val="32"/>
        </w:rPr>
        <w:t>北京市科学技术委员会2023年度部门整体绩效评价指标体系评分表</w:t>
      </w:r>
    </w:p>
    <w:p w14:paraId="475D3BD4">
      <w:pPr>
        <w:spacing w:line="560" w:lineRule="exact"/>
      </w:pPr>
    </w:p>
    <w:sectPr>
      <w:footerReference r:id="rId6" w:type="default"/>
      <w:footnotePr>
        <w:numFmt w:val="decimalEnclosedCircleChinese"/>
      </w:footnotePr>
      <w:pgSz w:w="11906" w:h="16838"/>
      <w:pgMar w:top="1440" w:right="1416" w:bottom="1440" w:left="1800" w:header="851" w:footer="1077"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9B25568-B6BA-411B-8B7D-7067551FAF4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278DC26D-3615-4606-8487-E143DFF4EA63}"/>
  </w:font>
  <w:font w:name="Times New Roman (正文 CS 字体)">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embedRegular r:id="rId3" w:fontKey="{DB53376C-2D27-4A68-BD20-B917426E3D4A}"/>
  </w:font>
  <w:font w:name="楷体_GB2312">
    <w:panose1 w:val="02010609030101010101"/>
    <w:charset w:val="86"/>
    <w:family w:val="modern"/>
    <w:pitch w:val="default"/>
    <w:sig w:usb0="00000001" w:usb1="080E0000" w:usb2="00000000" w:usb3="00000000" w:csb0="00040000" w:csb1="00000000"/>
    <w:embedRegular r:id="rId4" w:fontKey="{2BBF1EF1-15E4-4A27-B5E2-E56082BE31F2}"/>
  </w:font>
  <w:font w:name="仿宋">
    <w:panose1 w:val="02010609060101010101"/>
    <w:charset w:val="86"/>
    <w:family w:val="modern"/>
    <w:pitch w:val="default"/>
    <w:sig w:usb0="800002BF" w:usb1="38CF7CFA" w:usb2="00000016" w:usb3="00000000" w:csb0="00040001" w:csb1="00000000"/>
    <w:embedRegular r:id="rId5" w:fontKey="{C071B252-EF02-493C-8EA0-4B8D6E920932}"/>
  </w:font>
  <w:font w:name="方正小标宋_GBK">
    <w:panose1 w:val="03000509000000000000"/>
    <w:charset w:val="86"/>
    <w:family w:val="script"/>
    <w:pitch w:val="default"/>
    <w:sig w:usb0="00000001" w:usb1="080E0000" w:usb2="00000000" w:usb3="00000000" w:csb0="00040000" w:csb1="00000000"/>
    <w:embedRegular r:id="rId6" w:fontKey="{F72C31E5-B004-466A-83DD-BCC439153B36}"/>
  </w:font>
  <w:font w:name="Segoe UI">
    <w:panose1 w:val="020B0502040204020203"/>
    <w:charset w:val="00"/>
    <w:family w:val="swiss"/>
    <w:pitch w:val="default"/>
    <w:sig w:usb0="E4002EFF" w:usb1="C000E47F" w:usb2="00000009" w:usb3="00000000" w:csb0="200001FF" w:csb1="00000000"/>
    <w:embedRegular r:id="rId7" w:fontKey="{53E0932F-D371-4DB3-93D6-188D931F2829}"/>
  </w:font>
  <w:font w:name="微软雅黑">
    <w:panose1 w:val="020B0503020204020204"/>
    <w:charset w:val="86"/>
    <w:family w:val="swiss"/>
    <w:pitch w:val="default"/>
    <w:sig w:usb0="80000287" w:usb1="2ACF3C50" w:usb2="00000016" w:usb3="00000000" w:csb0="0004001F" w:csb1="00000000"/>
    <w:embedRegular r:id="rId8" w:fontKey="{7E5144B2-3285-4D7D-8CF5-F22BD2E86FDC}"/>
  </w:font>
  <w:font w:name="等线">
    <w:panose1 w:val="02010600030101010101"/>
    <w:charset w:val="86"/>
    <w:family w:val="auto"/>
    <w:pitch w:val="default"/>
    <w:sig w:usb0="A00002BF" w:usb1="38CF7CFA" w:usb2="00000016" w:usb3="00000000" w:csb0="0004000F" w:csb1="00000000"/>
    <w:embedRegular r:id="rId9" w:fontKey="{1E6B9899-762F-4789-9D0D-B8582E54C71C}"/>
  </w:font>
  <w:font w:name="方正仿宋_GBK">
    <w:altName w:val="微软雅黑"/>
    <w:panose1 w:val="00000000000000000000"/>
    <w:charset w:val="86"/>
    <w:family w:val="auto"/>
    <w:pitch w:val="default"/>
    <w:sig w:usb0="00000000" w:usb1="00000000" w:usb2="00000000" w:usb3="00000000" w:csb0="00040000" w:csb1="00000000"/>
    <w:embedRegular r:id="rId10" w:fontKey="{EFF6D5B2-09C1-403F-8D67-9449D2E2042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A32FD">
    <w:pPr>
      <w:pStyle w:val="9"/>
      <w:jc w:val="cente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0C372043">
                          <w:pPr>
                            <w:pStyle w:val="9"/>
                            <w:jc w:val="center"/>
                          </w:pPr>
                          <w:r>
                            <w:t xml:space="preserve">— </w:t>
                          </w:r>
                          <w:r>
                            <w:fldChar w:fldCharType="begin"/>
                          </w:r>
                          <w:r>
                            <w:instrText xml:space="preserve"> PAGE  \* MERGEFORMAT </w:instrText>
                          </w:r>
                          <w:r>
                            <w:fldChar w:fldCharType="separate"/>
                          </w:r>
                          <w:r>
                            <w:t>1</w:t>
                          </w:r>
                          <w:r>
                            <w:fldChar w:fldCharType="end"/>
                          </w:r>
                          <w:r>
                            <w:t xml:space="preserve"> —</w:t>
                          </w:r>
                        </w:p>
                      </w:txbxContent>
                    </wps:txbx>
                    <wps:bodyPr vert="horz" wrap="none" lIns="0" tIns="0" rIns="0" bIns="0" anchor="t">
                      <a:spAutoFit/>
                    </wps:bodyPr>
                  </wps:wsp>
                </a:graphicData>
              </a:graphic>
            </wp:anchor>
          </w:drawing>
        </mc:Choice>
        <mc:Fallback>
          <w:pict>
            <v:shape id="文本框 1027"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CbSv4j4QEAAL4DAAAOAAAA&#10;AAAAAAEAIAAAAB4BAABkcnMvZTJvRG9jLnhtbFBLBQYAAAAABgAGAFkBAABxBQAAAAA=&#10;">
              <v:fill on="f" focussize="0,0"/>
              <v:stroke on="f"/>
              <v:imagedata o:title=""/>
              <o:lock v:ext="edit" aspectratio="f"/>
              <v:textbox inset="0mm,0mm,0mm,0mm" style="mso-fit-shape-to-text:t;">
                <w:txbxContent>
                  <w:p w14:paraId="0C372043">
                    <w:pPr>
                      <w:pStyle w:val="9"/>
                      <w:jc w:val="center"/>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p w14:paraId="0BF2E97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AA64D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80BFEB">
    <w:pPr>
      <w:pStyle w:val="9"/>
      <w:jc w:val="center"/>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Quad Arrow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7EB7F1D3">
                          <w:r>
                            <w:t xml:space="preserve">— </w:t>
                          </w:r>
                          <w:r>
                            <w:rPr>
                              <w:szCs w:val="21"/>
                            </w:rPr>
                            <w:fldChar w:fldCharType="begin"/>
                          </w:r>
                          <w:r>
                            <w:rPr>
                              <w:szCs w:val="21"/>
                            </w:rPr>
                            <w:instrText xml:space="preserve"> PAGE  \* MERGEFORMAT </w:instrText>
                          </w:r>
                          <w:r>
                            <w:rPr>
                              <w:szCs w:val="21"/>
                            </w:rPr>
                            <w:fldChar w:fldCharType="separate"/>
                          </w:r>
                          <w:r>
                            <w:rPr>
                              <w:szCs w:val="21"/>
                            </w:rPr>
                            <w:t>1</w:t>
                          </w:r>
                          <w:r>
                            <w:rPr>
                              <w:szCs w:val="21"/>
                            </w:rPr>
                            <w:fldChar w:fldCharType="end"/>
                          </w:r>
                          <w:r>
                            <w:rPr>
                              <w:szCs w:val="21"/>
                            </w:rPr>
                            <w:t xml:space="preserve"> </w:t>
                          </w:r>
                          <w:r>
                            <w:t>—</w:t>
                          </w:r>
                        </w:p>
                      </w:txbxContent>
                    </wps:txbx>
                    <wps:bodyPr wrap="none" lIns="0" tIns="0" rIns="0" bIns="0" upright="1">
                      <a:spAutoFit/>
                    </wps:bodyPr>
                  </wps:wsp>
                </a:graphicData>
              </a:graphic>
            </wp:anchor>
          </w:drawing>
        </mc:Choice>
        <mc:Fallback>
          <w:pict>
            <v:shape id="Quad Arrow 2"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BilhXJyQEAALEDAAAOAAAAAAAAAAEAIAAAAB4BAABkcnMvZTJvRG9j&#10;LnhtbFBLBQYAAAAABgAGAFkBAABZBQAAAAA=&#10;">
              <v:fill on="f" focussize="0,0"/>
              <v:stroke on="f"/>
              <v:imagedata o:title=""/>
              <o:lock v:ext="edit" aspectratio="f"/>
              <v:textbox inset="0mm,0mm,0mm,0mm" style="mso-fit-shape-to-text:t;">
                <w:txbxContent>
                  <w:p w14:paraId="7EB7F1D3">
                    <w:r>
                      <w:t xml:space="preserve">— </w:t>
                    </w:r>
                    <w:r>
                      <w:rPr>
                        <w:szCs w:val="21"/>
                      </w:rPr>
                      <w:fldChar w:fldCharType="begin"/>
                    </w:r>
                    <w:r>
                      <w:rPr>
                        <w:szCs w:val="21"/>
                      </w:rPr>
                      <w:instrText xml:space="preserve"> PAGE  \* MERGEFORMAT </w:instrText>
                    </w:r>
                    <w:r>
                      <w:rPr>
                        <w:szCs w:val="21"/>
                      </w:rPr>
                      <w:fldChar w:fldCharType="separate"/>
                    </w:r>
                    <w:r>
                      <w:rPr>
                        <w:szCs w:val="21"/>
                      </w:rPr>
                      <w:t>1</w:t>
                    </w:r>
                    <w:r>
                      <w:rPr>
                        <w:szCs w:val="21"/>
                      </w:rPr>
                      <w:fldChar w:fldCharType="end"/>
                    </w:r>
                    <w:r>
                      <w:rPr>
                        <w:szCs w:val="21"/>
                      </w:rPr>
                      <w:t xml:space="preserve"> </w:t>
                    </w:r>
                    <w: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88519">
    <w:pPr>
      <w:pStyle w:val="10"/>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TrueTypeFonts/>
  <w:saveSubsetFonts/>
  <w:bordersDoNotSurroundHeader w:val="1"/>
  <w:bordersDoNotSurroundFooter w:val="1"/>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hlMzc4ZTc1ZmNiZDU0YmEwYzBmZGU0YzYzZTdjZDcifQ=="/>
  </w:docVars>
  <w:rsids>
    <w:rsidRoot w:val="2E2D209E"/>
    <w:rsid w:val="00002A7A"/>
    <w:rsid w:val="00011EB4"/>
    <w:rsid w:val="00016FFB"/>
    <w:rsid w:val="00034938"/>
    <w:rsid w:val="00036E64"/>
    <w:rsid w:val="00053C3D"/>
    <w:rsid w:val="00065A25"/>
    <w:rsid w:val="000745FA"/>
    <w:rsid w:val="00074C40"/>
    <w:rsid w:val="000A0ED3"/>
    <w:rsid w:val="000A297A"/>
    <w:rsid w:val="000F0FCB"/>
    <w:rsid w:val="00100FAA"/>
    <w:rsid w:val="00114D34"/>
    <w:rsid w:val="001962BB"/>
    <w:rsid w:val="001A1FB5"/>
    <w:rsid w:val="001A3CC3"/>
    <w:rsid w:val="001C6C57"/>
    <w:rsid w:val="001D598B"/>
    <w:rsid w:val="001E4BF4"/>
    <w:rsid w:val="002033F3"/>
    <w:rsid w:val="00231494"/>
    <w:rsid w:val="00242B28"/>
    <w:rsid w:val="002A27A7"/>
    <w:rsid w:val="002B3A78"/>
    <w:rsid w:val="002C30FB"/>
    <w:rsid w:val="002E40EC"/>
    <w:rsid w:val="002F678C"/>
    <w:rsid w:val="00300E97"/>
    <w:rsid w:val="00342336"/>
    <w:rsid w:val="003864B3"/>
    <w:rsid w:val="003B19C4"/>
    <w:rsid w:val="003D03EC"/>
    <w:rsid w:val="00405839"/>
    <w:rsid w:val="00406A2D"/>
    <w:rsid w:val="004667D3"/>
    <w:rsid w:val="004857B5"/>
    <w:rsid w:val="004957F0"/>
    <w:rsid w:val="004A2FF9"/>
    <w:rsid w:val="004E7144"/>
    <w:rsid w:val="00527BBB"/>
    <w:rsid w:val="005538BD"/>
    <w:rsid w:val="00570345"/>
    <w:rsid w:val="005B702E"/>
    <w:rsid w:val="005C20FE"/>
    <w:rsid w:val="00647F8F"/>
    <w:rsid w:val="0065058C"/>
    <w:rsid w:val="00675B73"/>
    <w:rsid w:val="006F0F77"/>
    <w:rsid w:val="0072753B"/>
    <w:rsid w:val="00730851"/>
    <w:rsid w:val="00733C8C"/>
    <w:rsid w:val="00783FCA"/>
    <w:rsid w:val="007973AB"/>
    <w:rsid w:val="007E5FBD"/>
    <w:rsid w:val="008039E6"/>
    <w:rsid w:val="0082110C"/>
    <w:rsid w:val="00824586"/>
    <w:rsid w:val="00871341"/>
    <w:rsid w:val="008E6344"/>
    <w:rsid w:val="0093185A"/>
    <w:rsid w:val="009849CB"/>
    <w:rsid w:val="009945A1"/>
    <w:rsid w:val="00A411E0"/>
    <w:rsid w:val="00A6339A"/>
    <w:rsid w:val="00A944EF"/>
    <w:rsid w:val="00A96B22"/>
    <w:rsid w:val="00AB28C4"/>
    <w:rsid w:val="00B00C45"/>
    <w:rsid w:val="00B62B96"/>
    <w:rsid w:val="00BC60C3"/>
    <w:rsid w:val="00BD4696"/>
    <w:rsid w:val="00C0472D"/>
    <w:rsid w:val="00C1757C"/>
    <w:rsid w:val="00C36E09"/>
    <w:rsid w:val="00C43201"/>
    <w:rsid w:val="00C70D75"/>
    <w:rsid w:val="00C83DD6"/>
    <w:rsid w:val="00CA7559"/>
    <w:rsid w:val="00CD7DF4"/>
    <w:rsid w:val="00D41D7B"/>
    <w:rsid w:val="00D86386"/>
    <w:rsid w:val="00D87EAA"/>
    <w:rsid w:val="00DA3448"/>
    <w:rsid w:val="00DB0360"/>
    <w:rsid w:val="00DE26CB"/>
    <w:rsid w:val="00DF3733"/>
    <w:rsid w:val="00E701FE"/>
    <w:rsid w:val="00EC0D96"/>
    <w:rsid w:val="00EC3FC8"/>
    <w:rsid w:val="00EC62A0"/>
    <w:rsid w:val="00EE45C7"/>
    <w:rsid w:val="00F26104"/>
    <w:rsid w:val="00F2704F"/>
    <w:rsid w:val="00F27953"/>
    <w:rsid w:val="00F35900"/>
    <w:rsid w:val="00F35DA7"/>
    <w:rsid w:val="00F4474E"/>
    <w:rsid w:val="00FA6B33"/>
    <w:rsid w:val="00FD287E"/>
    <w:rsid w:val="04050B24"/>
    <w:rsid w:val="05BB035D"/>
    <w:rsid w:val="06EE2C6F"/>
    <w:rsid w:val="0CF37CB7"/>
    <w:rsid w:val="0F66165C"/>
    <w:rsid w:val="14AD0811"/>
    <w:rsid w:val="14DC6BFA"/>
    <w:rsid w:val="17326391"/>
    <w:rsid w:val="17672FAC"/>
    <w:rsid w:val="1E5D0198"/>
    <w:rsid w:val="1EFF4A65"/>
    <w:rsid w:val="1F3507CD"/>
    <w:rsid w:val="20C71D91"/>
    <w:rsid w:val="218810DB"/>
    <w:rsid w:val="22357A48"/>
    <w:rsid w:val="245142FB"/>
    <w:rsid w:val="24A851AB"/>
    <w:rsid w:val="24AC711A"/>
    <w:rsid w:val="2623421A"/>
    <w:rsid w:val="28354F04"/>
    <w:rsid w:val="299B0217"/>
    <w:rsid w:val="29B793BA"/>
    <w:rsid w:val="2AE80E8F"/>
    <w:rsid w:val="2C1B316B"/>
    <w:rsid w:val="2DB96A6D"/>
    <w:rsid w:val="2DF3A78F"/>
    <w:rsid w:val="2DF90021"/>
    <w:rsid w:val="2E2D209E"/>
    <w:rsid w:val="2F5441BE"/>
    <w:rsid w:val="32367C95"/>
    <w:rsid w:val="33167E1C"/>
    <w:rsid w:val="335B5194"/>
    <w:rsid w:val="33F67832"/>
    <w:rsid w:val="359C2EFC"/>
    <w:rsid w:val="37BF6BFE"/>
    <w:rsid w:val="37EF67F6"/>
    <w:rsid w:val="38A722E3"/>
    <w:rsid w:val="39582217"/>
    <w:rsid w:val="3A6906BF"/>
    <w:rsid w:val="3A763799"/>
    <w:rsid w:val="3B304812"/>
    <w:rsid w:val="3BB44DBE"/>
    <w:rsid w:val="3D2115F8"/>
    <w:rsid w:val="3FDF411C"/>
    <w:rsid w:val="40A06649"/>
    <w:rsid w:val="41BD0C19"/>
    <w:rsid w:val="43D85A47"/>
    <w:rsid w:val="440178DB"/>
    <w:rsid w:val="441437F5"/>
    <w:rsid w:val="48332483"/>
    <w:rsid w:val="48E10406"/>
    <w:rsid w:val="4AFE76E5"/>
    <w:rsid w:val="4B9A6D38"/>
    <w:rsid w:val="4C340DE3"/>
    <w:rsid w:val="4DFFFF9C"/>
    <w:rsid w:val="4FDF0CCB"/>
    <w:rsid w:val="4FF6857E"/>
    <w:rsid w:val="5321043D"/>
    <w:rsid w:val="536A01B1"/>
    <w:rsid w:val="53D38B69"/>
    <w:rsid w:val="53D9428A"/>
    <w:rsid w:val="53FB2F26"/>
    <w:rsid w:val="54ED1644"/>
    <w:rsid w:val="55EF30A5"/>
    <w:rsid w:val="563167DC"/>
    <w:rsid w:val="568735B3"/>
    <w:rsid w:val="595959D2"/>
    <w:rsid w:val="59AE020C"/>
    <w:rsid w:val="5CEF9F5B"/>
    <w:rsid w:val="5F1A3146"/>
    <w:rsid w:val="62097EED"/>
    <w:rsid w:val="637F9135"/>
    <w:rsid w:val="64357EF4"/>
    <w:rsid w:val="652554EC"/>
    <w:rsid w:val="65B6773A"/>
    <w:rsid w:val="67AC5FE2"/>
    <w:rsid w:val="67FC27EA"/>
    <w:rsid w:val="689627C2"/>
    <w:rsid w:val="693F6A4B"/>
    <w:rsid w:val="69CB3E9F"/>
    <w:rsid w:val="6AE7AD79"/>
    <w:rsid w:val="6BFDCBD8"/>
    <w:rsid w:val="6D3BEE54"/>
    <w:rsid w:val="6EB96263"/>
    <w:rsid w:val="6F5B73A8"/>
    <w:rsid w:val="6F9614DA"/>
    <w:rsid w:val="6FBC06F2"/>
    <w:rsid w:val="73F54C80"/>
    <w:rsid w:val="742D4A14"/>
    <w:rsid w:val="75F7A198"/>
    <w:rsid w:val="766712E3"/>
    <w:rsid w:val="775D78C1"/>
    <w:rsid w:val="79246F07"/>
    <w:rsid w:val="79EB36E0"/>
    <w:rsid w:val="7D1E5C9A"/>
    <w:rsid w:val="7DFA4FFE"/>
    <w:rsid w:val="7DFF7942"/>
    <w:rsid w:val="7E21356B"/>
    <w:rsid w:val="7F1F7463"/>
    <w:rsid w:val="7F7F8A92"/>
    <w:rsid w:val="7FAFAFE0"/>
    <w:rsid w:val="7FB21657"/>
    <w:rsid w:val="7FDADF10"/>
    <w:rsid w:val="7FEB541A"/>
    <w:rsid w:val="7FFECA2C"/>
    <w:rsid w:val="7FFF7EAD"/>
    <w:rsid w:val="97B60D29"/>
    <w:rsid w:val="9BDF0B9D"/>
    <w:rsid w:val="9D4F3619"/>
    <w:rsid w:val="AF6C840A"/>
    <w:rsid w:val="B7EF0B91"/>
    <w:rsid w:val="BA7B3862"/>
    <w:rsid w:val="BDEF2B77"/>
    <w:rsid w:val="BFD9041B"/>
    <w:rsid w:val="BFEBD2A7"/>
    <w:rsid w:val="CFFF6045"/>
    <w:rsid w:val="D3FD384E"/>
    <w:rsid w:val="D5BC1EE9"/>
    <w:rsid w:val="D7EFB4AE"/>
    <w:rsid w:val="D9A71265"/>
    <w:rsid w:val="DBD751FC"/>
    <w:rsid w:val="DD4F8E90"/>
    <w:rsid w:val="DE377DE7"/>
    <w:rsid w:val="DEF68E85"/>
    <w:rsid w:val="DF5DCC65"/>
    <w:rsid w:val="DFBA2538"/>
    <w:rsid w:val="DFF74686"/>
    <w:rsid w:val="DFF7A404"/>
    <w:rsid w:val="E2FF8D2D"/>
    <w:rsid w:val="E75FC2B5"/>
    <w:rsid w:val="EADFA475"/>
    <w:rsid w:val="EDD7B1D1"/>
    <w:rsid w:val="EF3B612E"/>
    <w:rsid w:val="F33F014C"/>
    <w:rsid w:val="F47EE3F9"/>
    <w:rsid w:val="F5F77941"/>
    <w:rsid w:val="F5FFCA72"/>
    <w:rsid w:val="F7FE426A"/>
    <w:rsid w:val="F99B5F79"/>
    <w:rsid w:val="FBDF2AFD"/>
    <w:rsid w:val="FCC23BA8"/>
    <w:rsid w:val="FEF74E24"/>
    <w:rsid w:val="FFA78370"/>
    <w:rsid w:val="FFCDDFC2"/>
    <w:rsid w:val="FFE6CC81"/>
    <w:rsid w:val="FFEB8B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line="440" w:lineRule="exact"/>
    </w:pPr>
    <w:rPr>
      <w:rFonts w:eastAsia="仿宋_GB2312"/>
      <w:sz w:val="32"/>
    </w:rPr>
  </w:style>
  <w:style w:type="paragraph" w:styleId="4">
    <w:name w:val="Normal Indent"/>
    <w:basedOn w:val="1"/>
    <w:qFormat/>
    <w:uiPriority w:val="0"/>
    <w:pPr>
      <w:ind w:firstLine="200" w:firstLineChars="200"/>
    </w:pPr>
  </w:style>
  <w:style w:type="paragraph" w:styleId="5">
    <w:name w:val="annotation text"/>
    <w:basedOn w:val="1"/>
    <w:qFormat/>
    <w:uiPriority w:val="0"/>
    <w:pPr>
      <w:jc w:val="left"/>
    </w:pPr>
  </w:style>
  <w:style w:type="paragraph" w:styleId="6">
    <w:name w:val="Body Text Indent"/>
    <w:basedOn w:val="1"/>
    <w:qFormat/>
    <w:uiPriority w:val="99"/>
    <w:pPr>
      <w:spacing w:after="120"/>
      <w:ind w:left="420" w:leftChars="200"/>
    </w:pPr>
  </w:style>
  <w:style w:type="paragraph" w:styleId="7">
    <w:name w:val="Block Text"/>
    <w:basedOn w:val="1"/>
    <w:unhideWhenUsed/>
    <w:qFormat/>
    <w:uiPriority w:val="99"/>
    <w:pPr>
      <w:spacing w:after="120"/>
      <w:ind w:left="1440" w:leftChars="700" w:right="1440" w:rightChars="700"/>
    </w:pPr>
  </w:style>
  <w:style w:type="paragraph" w:styleId="8">
    <w:name w:val="Balloon Text"/>
    <w:basedOn w:val="1"/>
    <w:link w:val="18"/>
    <w:qFormat/>
    <w:uiPriority w:val="0"/>
    <w:rPr>
      <w:sz w:val="18"/>
      <w:szCs w:val="18"/>
    </w:rPr>
  </w:style>
  <w:style w:type="paragraph" w:styleId="9">
    <w:name w:val="footer"/>
    <w:basedOn w:val="1"/>
    <w:next w:val="1"/>
    <w:unhideWhenUsed/>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toc 2"/>
    <w:basedOn w:val="1"/>
    <w:next w:val="1"/>
    <w:qFormat/>
    <w:uiPriority w:val="39"/>
    <w:pPr>
      <w:tabs>
        <w:tab w:val="right" w:leader="dot" w:pos="8680"/>
      </w:tabs>
      <w:ind w:left="420" w:leftChars="200"/>
      <w:jc w:val="center"/>
    </w:pPr>
    <w:rPr>
      <w:rFonts w:ascii="黑体" w:hAnsi="黑体" w:eastAsia="黑体" w:cs="黑体"/>
      <w:sz w:val="32"/>
      <w:szCs w:val="32"/>
    </w:rPr>
  </w:style>
  <w:style w:type="paragraph" w:styleId="12">
    <w:name w:val="HTML Preformatted"/>
    <w:basedOn w:val="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Body Text First Indent 2"/>
    <w:basedOn w:val="6"/>
    <w:qFormat/>
    <w:uiPriority w:val="0"/>
    <w:pPr>
      <w:spacing w:after="0"/>
      <w:ind w:left="0" w:leftChars="0" w:firstLine="420" w:firstLineChars="200"/>
    </w:pPr>
  </w:style>
  <w:style w:type="character" w:styleId="17">
    <w:name w:val="annotation reference"/>
    <w:basedOn w:val="16"/>
    <w:qFormat/>
    <w:uiPriority w:val="0"/>
    <w:rPr>
      <w:sz w:val="21"/>
      <w:szCs w:val="21"/>
    </w:rPr>
  </w:style>
  <w:style w:type="character" w:customStyle="1" w:styleId="18">
    <w:name w:val="批注框文本 字符"/>
    <w:basedOn w:val="16"/>
    <w:link w:val="8"/>
    <w:qFormat/>
    <w:uiPriority w:val="0"/>
    <w:rPr>
      <w:rFonts w:ascii="Calibri" w:hAnsi="Calibri"/>
      <w:kern w:val="2"/>
      <w:sz w:val="18"/>
      <w:szCs w:val="18"/>
    </w:rPr>
  </w:style>
  <w:style w:type="paragraph" w:customStyle="1" w:styleId="19">
    <w:name w:val="正文1"/>
    <w:basedOn w:val="1"/>
    <w:qFormat/>
    <w:uiPriority w:val="0"/>
    <w:rPr>
      <w:rFonts w:ascii="Times New Roman" w:hAnsi="Times New Roman" w:eastAsia="仿宋_GB2312" w:cs="Times New Roman (正文 CS 字体)"/>
      <w:sz w:val="32"/>
      <w:szCs w:val="24"/>
    </w:rPr>
  </w:style>
  <w:style w:type="paragraph" w:customStyle="1" w:styleId="20">
    <w:name w:val="修订1"/>
    <w:hidden/>
    <w:unhideWhenUsed/>
    <w:qFormat/>
    <w:uiPriority w:val="99"/>
    <w:rPr>
      <w:rFonts w:ascii="Calibri" w:hAnsi="Calibri" w:eastAsia="宋体" w:cs="Times New Roman"/>
      <w:kern w:val="2"/>
      <w:sz w:val="21"/>
      <w:szCs w:val="22"/>
      <w:lang w:val="en-US" w:eastAsia="zh-CN" w:bidi="ar-SA"/>
    </w:rPr>
  </w:style>
  <w:style w:type="paragraph" w:customStyle="1" w:styleId="21">
    <w:name w:val="修订2"/>
    <w:hidden/>
    <w:unhideWhenUsed/>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10162</Words>
  <Characters>10714</Characters>
  <Lines>84</Lines>
  <Paragraphs>23</Paragraphs>
  <TotalTime>2</TotalTime>
  <ScaleCrop>false</ScaleCrop>
  <LinksUpToDate>false</LinksUpToDate>
  <CharactersWithSpaces>10738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2024-05-22T11:01:00Z</dcterms:created>
  <dc:creator>@xin</dc:creator>
  <cp:lastModifiedBy>Lenovo</cp:lastModifiedBy>
  <cp:lastPrinted>2024-06-05T11:40:00Z</cp:lastPrinted>
  <dcterms:modified xsi:type="dcterms:W3CDTF">2024-08-26T06:42:03Z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466C69B632504A5EA11A916351C79D8A_13</vt:lpwstr>
  </property>
</Properties>
</file>