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北京市自然科学基金委员会办公室</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eastAsia" w:ascii="仿宋_GB2312" w:hAnsi="Times New Roman" w:eastAsia="仿宋_GB2312" w:cs="Times New Roman"/>
          <w:kern w:val="0"/>
          <w:sz w:val="28"/>
          <w:szCs w:val="28"/>
          <w:lang w:val="en-US" w:eastAsia="zh-CN" w:bidi="ar-SA"/>
        </w:rPr>
      </w:pPr>
      <w:r>
        <w:rPr>
          <w:rFonts w:hint="eastAsia" w:ascii="仿宋_GB2312" w:hAnsi="Times New Roman" w:eastAsia="仿宋_GB2312" w:cs="Times New Roman"/>
          <w:kern w:val="0"/>
          <w:sz w:val="28"/>
          <w:szCs w:val="28"/>
          <w:lang w:val="en-US" w:eastAsia="zh-CN" w:bidi="ar-SA"/>
        </w:rPr>
        <w:t>北京市自然科学基金委员会办公室是中共北京市机构编制委员会批准成立的北京市科委、中关村管委会直属事业单位。主要职责为：承担本市基础研究和应用研究的政策拟定和组织协调，负责北京市自然科学基金实施工作，承担研究成果统计分析和推广等工作。</w:t>
      </w:r>
    </w:p>
    <w:p>
      <w:pPr>
        <w:pStyle w:val="2"/>
        <w:rPr>
          <w:rFonts w:hint="eastAsia" w:ascii="仿宋_GB2312" w:hAnsi="Times New Roman" w:eastAsia="仿宋_GB2312" w:cs="Times New Roman"/>
          <w:kern w:val="0"/>
          <w:sz w:val="28"/>
          <w:szCs w:val="28"/>
          <w:lang w:val="en-US" w:eastAsia="zh-CN" w:bidi="ar-SA"/>
        </w:rPr>
      </w:pPr>
      <w:r>
        <w:rPr>
          <w:rFonts w:hint="eastAsia" w:ascii="仿宋_GB2312" w:eastAsia="仿宋_GB2312" w:cs="Times New Roman"/>
          <w:kern w:val="0"/>
          <w:sz w:val="28"/>
          <w:szCs w:val="28"/>
          <w:lang w:val="en-US" w:eastAsia="zh-CN" w:bidi="ar-SA"/>
        </w:rPr>
        <w:t>内</w:t>
      </w:r>
      <w:r>
        <w:rPr>
          <w:rFonts w:hint="eastAsia" w:ascii="仿宋_GB2312" w:hAnsi="Times New Roman" w:eastAsia="仿宋_GB2312" w:cs="Times New Roman"/>
          <w:kern w:val="0"/>
          <w:sz w:val="28"/>
          <w:szCs w:val="28"/>
          <w:lang w:val="en-US" w:eastAsia="zh-CN" w:bidi="ar-SA"/>
        </w:rPr>
        <w:t>设7个部门，分别</w:t>
      </w:r>
      <w:r>
        <w:rPr>
          <w:rFonts w:hint="eastAsia" w:ascii="仿宋_GB2312" w:eastAsia="仿宋_GB2312" w:cs="Times New Roman"/>
          <w:kern w:val="0"/>
          <w:sz w:val="28"/>
          <w:szCs w:val="28"/>
          <w:lang w:val="en-US" w:eastAsia="zh-CN" w:bidi="ar-SA"/>
        </w:rPr>
        <w:t>为：</w:t>
      </w:r>
      <w:r>
        <w:rPr>
          <w:rFonts w:hint="eastAsia" w:ascii="仿宋_GB2312" w:hAnsi="Times New Roman" w:eastAsia="仿宋_GB2312" w:cs="Times New Roman"/>
          <w:kern w:val="0"/>
          <w:sz w:val="28"/>
          <w:szCs w:val="28"/>
          <w:lang w:val="en-US" w:eastAsia="zh-CN" w:bidi="ar-SA"/>
        </w:rPr>
        <w:t>综合管理部、发展规划部、学科管理部、项目管理部、联合基金管理一部、联合基金管理二部和交叉科学部。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40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32</w:t>
      </w:r>
      <w:r>
        <w:rPr>
          <w:rFonts w:hint="eastAsia" w:ascii="仿宋_GB2312" w:eastAsia="仿宋_GB2312"/>
          <w:kern w:val="0"/>
          <w:sz w:val="28"/>
          <w:szCs w:val="28"/>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52290.22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4973.33</w:t>
      </w:r>
      <w:r>
        <w:rPr>
          <w:rFonts w:hint="eastAsia" w:ascii="仿宋_GB2312" w:eastAsia="仿宋_GB2312"/>
          <w:sz w:val="28"/>
          <w:szCs w:val="28"/>
        </w:rPr>
        <w:t>万元，增长</w:t>
      </w:r>
      <w:r>
        <w:rPr>
          <w:rFonts w:hint="eastAsia" w:ascii="仿宋_GB2312" w:eastAsia="仿宋_GB2312"/>
          <w:sz w:val="28"/>
          <w:szCs w:val="28"/>
          <w:lang w:val="en-US" w:eastAsia="zh-CN"/>
        </w:rPr>
        <w:t>10.51</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51584.32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4323.87</w:t>
      </w:r>
      <w:r>
        <w:rPr>
          <w:rFonts w:hint="eastAsia" w:ascii="仿宋_GB2312" w:eastAsia="仿宋_GB2312"/>
          <w:sz w:val="28"/>
          <w:szCs w:val="28"/>
        </w:rPr>
        <w:t>万元，增长</w:t>
      </w:r>
      <w:r>
        <w:rPr>
          <w:rFonts w:hint="eastAsia" w:ascii="仿宋_GB2312" w:eastAsia="仿宋_GB2312"/>
          <w:sz w:val="28"/>
          <w:szCs w:val="28"/>
          <w:lang w:val="en-US" w:eastAsia="zh-CN"/>
        </w:rPr>
        <w:t>9.15</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35984.32</w:t>
      </w:r>
      <w:r>
        <w:rPr>
          <w:rFonts w:hint="eastAsia" w:ascii="仿宋_GB2312" w:eastAsia="仿宋_GB2312"/>
          <w:sz w:val="28"/>
          <w:szCs w:val="28"/>
        </w:rPr>
        <w:t>万元，占收入合计的</w:t>
      </w:r>
      <w:r>
        <w:rPr>
          <w:rFonts w:ascii="仿宋_GB2312" w:eastAsia="仿宋_GB2312"/>
          <w:sz w:val="28"/>
          <w:szCs w:val="28"/>
        </w:rPr>
        <w:t>69.7</w:t>
      </w:r>
      <w:r>
        <w:rPr>
          <w:rFonts w:hint="eastAsia" w:ascii="仿宋_GB2312" w:eastAsia="仿宋_GB2312"/>
          <w:sz w:val="28"/>
          <w:szCs w:val="28"/>
          <w:lang w:val="en-US" w:eastAsia="zh-CN"/>
        </w:rPr>
        <w:t>6</w:t>
      </w:r>
      <w:r>
        <w:rPr>
          <w:rFonts w:hint="eastAsia" w:ascii="仿宋_GB2312" w:eastAsia="仿宋_GB2312"/>
          <w:sz w:val="28"/>
          <w:szCs w:val="28"/>
        </w:rPr>
        <w:t>%。其中：一般公共预算财政拨款收入</w:t>
      </w:r>
      <w:r>
        <w:rPr>
          <w:rFonts w:ascii="仿宋_GB2312" w:eastAsia="仿宋_GB2312"/>
          <w:sz w:val="28"/>
          <w:szCs w:val="28"/>
        </w:rPr>
        <w:t>35984.32</w:t>
      </w:r>
      <w:r>
        <w:rPr>
          <w:rFonts w:hint="eastAsia" w:ascii="仿宋_GB2312" w:eastAsia="仿宋_GB2312"/>
          <w:sz w:val="28"/>
          <w:szCs w:val="28"/>
        </w:rPr>
        <w:t>万元，占收入合计的</w:t>
      </w:r>
      <w:r>
        <w:rPr>
          <w:rFonts w:ascii="仿宋_GB2312" w:eastAsia="仿宋_GB2312"/>
          <w:sz w:val="28"/>
          <w:szCs w:val="28"/>
        </w:rPr>
        <w:t>69.76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3.事业收入10600万元，占收入合计的20.55%；</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5000</w:t>
      </w:r>
      <w:r>
        <w:rPr>
          <w:rFonts w:hint="eastAsia" w:ascii="仿宋_GB2312" w:eastAsia="仿宋_GB2312"/>
          <w:sz w:val="28"/>
          <w:szCs w:val="28"/>
        </w:rPr>
        <w:t>万元，占收入合计的</w:t>
      </w:r>
      <w:r>
        <w:rPr>
          <w:rFonts w:hint="eastAsia" w:ascii="仿宋_GB2312" w:eastAsia="仿宋_GB2312"/>
          <w:sz w:val="28"/>
          <w:szCs w:val="28"/>
          <w:lang w:eastAsia="zh-CN"/>
        </w:rPr>
        <w:t>9.69</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rPr>
          <w:rFonts w:hint="eastAsia"/>
          <w:lang w:val="en-US" w:eastAsia="zh-CN"/>
        </w:rPr>
        <w:drawing>
          <wp:inline distT="0" distB="0" distL="114300" distR="114300">
            <wp:extent cx="4244340" cy="2379980"/>
            <wp:effectExtent l="4445" t="4445" r="18415" b="15875"/>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51932.27万元，比上年增加5377.43万元，增长11.55%，其中：基本支出994.87万元，占支出合计的1.92%；项目支出50937.40万元，占支出合计的98.08%；上缴上级支出0万元，占支出合计的0%；经营支出0万元，占支出合计的0%；对附属单位补助支出0万元，占支出合计的0%。</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36032.9</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384.62</w:t>
      </w:r>
      <w:r>
        <w:rPr>
          <w:rFonts w:hint="eastAsia" w:ascii="仿宋_GB2312" w:eastAsia="仿宋_GB2312"/>
          <w:sz w:val="28"/>
          <w:szCs w:val="28"/>
        </w:rPr>
        <w:t>万元，增长</w:t>
      </w:r>
      <w:r>
        <w:rPr>
          <w:rFonts w:hint="eastAsia" w:ascii="仿宋_GB2312" w:eastAsia="仿宋_GB2312"/>
          <w:sz w:val="28"/>
          <w:szCs w:val="28"/>
          <w:lang w:val="en-US" w:eastAsia="zh-CN"/>
        </w:rPr>
        <w:t>1.08</w:t>
      </w:r>
      <w:r>
        <w:rPr>
          <w:rFonts w:hint="eastAsia" w:ascii="仿宋_GB2312" w:eastAsia="仿宋_GB2312"/>
          <w:sz w:val="28"/>
          <w:szCs w:val="28"/>
        </w:rPr>
        <w:t>%</w:t>
      </w:r>
      <w:r>
        <w:rPr>
          <w:rFonts w:hint="eastAsia" w:ascii="仿宋_GB2312" w:eastAsia="仿宋_GB2312"/>
          <w:sz w:val="28"/>
          <w:szCs w:val="28"/>
          <w:lang w:eastAsia="zh-CN"/>
        </w:rPr>
        <w:t>，与上年情况基本持平。</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2023年度一般公共预算财政拨款支出35869.94万元，主要用于以下方面（按大类）：教育支出0.53万元；科学技术支出35831.47万元，占本年财政拨款支出99.89%；社会保障和就业支出37.95万元，占本年财政拨款支出0.11%。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autoSpaceDN/>
        <w:adjustRightInd/>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0.53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年度年初预算减少0.</w:t>
      </w:r>
      <w:r>
        <w:rPr>
          <w:rFonts w:hint="default" w:ascii="仿宋_GB2312" w:eastAsia="仿宋_GB2312"/>
          <w:sz w:val="28"/>
          <w:szCs w:val="28"/>
        </w:rPr>
        <w:t>40</w:t>
      </w:r>
      <w:r>
        <w:rPr>
          <w:rFonts w:hint="eastAsia" w:ascii="仿宋_GB2312" w:eastAsia="仿宋_GB2312"/>
          <w:sz w:val="28"/>
          <w:szCs w:val="28"/>
        </w:rPr>
        <w:t>万元，下降</w:t>
      </w:r>
      <w:r>
        <w:rPr>
          <w:rFonts w:hint="eastAsia" w:ascii="仿宋_GB2312" w:eastAsia="仿宋_GB2312"/>
          <w:sz w:val="28"/>
          <w:szCs w:val="28"/>
          <w:lang w:val="en-US" w:eastAsia="zh-CN"/>
        </w:rPr>
        <w:t>4</w:t>
      </w:r>
      <w:r>
        <w:rPr>
          <w:rFonts w:hint="eastAsia" w:ascii="仿宋_GB2312" w:eastAsia="仿宋_GB2312"/>
          <w:sz w:val="28"/>
          <w:szCs w:val="28"/>
          <w:lang w:eastAsia="zh-CN"/>
        </w:rPr>
        <w:t>3.21</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sz w:val="28"/>
          <w:szCs w:val="28"/>
          <w:highlight w:val="none"/>
        </w:rPr>
      </w:pPr>
      <w:r>
        <w:rPr>
          <w:rFonts w:hint="eastAsia" w:ascii="仿宋_GB2312" w:eastAsia="仿宋_GB2312"/>
          <w:sz w:val="28"/>
          <w:szCs w:val="28"/>
        </w:rPr>
        <w:t>“进修及培训</w:t>
      </w:r>
      <w:r>
        <w:rPr>
          <w:rFonts w:hint="eastAsia" w:ascii="仿宋_GB2312" w:eastAsia="仿宋_GB2312"/>
          <w:sz w:val="28"/>
          <w:szCs w:val="28"/>
          <w:lang w:val="en-US" w:eastAsia="zh-CN"/>
        </w:rPr>
        <w:t>”（款）2023年度决算0.53万元，比2023年度年初预算减少0.</w:t>
      </w:r>
      <w:r>
        <w:rPr>
          <w:rFonts w:hint="eastAsia" w:ascii="仿宋_GB2312" w:eastAsia="仿宋_GB2312"/>
          <w:sz w:val="28"/>
          <w:szCs w:val="28"/>
          <w:lang w:eastAsia="zh-CN"/>
        </w:rPr>
        <w:t>40</w:t>
      </w:r>
      <w:r>
        <w:rPr>
          <w:rFonts w:hint="eastAsia" w:ascii="仿宋_GB2312" w:eastAsia="仿宋_GB2312"/>
          <w:sz w:val="28"/>
          <w:szCs w:val="28"/>
          <w:lang w:val="en-US" w:eastAsia="zh-CN"/>
        </w:rPr>
        <w:t>万元，下降</w:t>
      </w:r>
      <w:r>
        <w:rPr>
          <w:rFonts w:hint="eastAsia" w:ascii="仿宋_GB2312" w:eastAsia="仿宋_GB2312"/>
          <w:sz w:val="28"/>
          <w:szCs w:val="28"/>
          <w:lang w:eastAsia="zh-CN"/>
        </w:rPr>
        <w:t>43.21</w:t>
      </w:r>
      <w:r>
        <w:rPr>
          <w:rFonts w:hint="eastAsia" w:ascii="仿宋_GB2312" w:eastAsia="仿宋_GB2312"/>
          <w:sz w:val="28"/>
          <w:szCs w:val="28"/>
          <w:lang w:val="en-US" w:eastAsia="zh-CN"/>
        </w:rPr>
        <w:t>%。主要原因：</w:t>
      </w:r>
      <w:r>
        <w:rPr>
          <w:rFonts w:hint="eastAsia" w:ascii="仿宋_GB2312" w:hAnsi="Times New Roman" w:eastAsia="仿宋_GB2312" w:cs="Times New Roman"/>
          <w:sz w:val="28"/>
          <w:szCs w:val="28"/>
          <w:highlight w:val="none"/>
        </w:rPr>
        <w:t>根据工作安排，培训活动调整培训方式，减少培训经费支出。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2、“科学技术支出”</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35831.47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201.88</w:t>
      </w:r>
      <w:r>
        <w:rPr>
          <w:rFonts w:hint="eastAsia" w:ascii="仿宋_GB2312" w:eastAsia="仿宋_GB2312"/>
          <w:sz w:val="28"/>
          <w:szCs w:val="28"/>
        </w:rPr>
        <w:t>万元，下降</w:t>
      </w:r>
      <w:r>
        <w:rPr>
          <w:rFonts w:hint="eastAsia" w:ascii="仿宋_GB2312" w:eastAsia="仿宋_GB2312"/>
          <w:sz w:val="28"/>
          <w:szCs w:val="28"/>
          <w:lang w:val="en-US" w:eastAsia="zh-CN"/>
        </w:rPr>
        <w:t>0.56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“科学技术管理事务”（款）202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1249.26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180.46</w:t>
      </w:r>
      <w:r>
        <w:rPr>
          <w:rFonts w:hint="eastAsia" w:ascii="仿宋_GB2312" w:eastAsia="仿宋_GB2312"/>
          <w:sz w:val="28"/>
          <w:szCs w:val="28"/>
        </w:rPr>
        <w:t>万元，下降</w:t>
      </w:r>
      <w:r>
        <w:rPr>
          <w:rFonts w:hint="eastAsia" w:ascii="仿宋_GB2312" w:eastAsia="仿宋_GB2312"/>
          <w:sz w:val="28"/>
          <w:szCs w:val="28"/>
          <w:lang w:val="en-US" w:eastAsia="zh-CN"/>
        </w:rPr>
        <w:t>12.62</w:t>
      </w:r>
      <w:r>
        <w:rPr>
          <w:rFonts w:hint="eastAsia" w:ascii="仿宋_GB2312" w:eastAsia="仿宋_GB2312"/>
          <w:sz w:val="28"/>
          <w:szCs w:val="28"/>
        </w:rPr>
        <w:t>%。主要原因：</w:t>
      </w:r>
      <w:r>
        <w:rPr>
          <w:rFonts w:hint="eastAsia" w:ascii="仿宋_GB2312" w:eastAsia="仿宋_GB2312"/>
          <w:sz w:val="28"/>
          <w:szCs w:val="28"/>
          <w:lang w:eastAsia="zh-CN"/>
        </w:rPr>
        <w:t>由于人员变动等因素，减少相关经费支出</w:t>
      </w:r>
      <w:r>
        <w:rPr>
          <w:rFonts w:hint="eastAsia" w:ascii="仿宋_GB2312" w:eastAsia="仿宋_GB2312"/>
          <w:sz w:val="28"/>
          <w:szCs w:val="28"/>
          <w:highlight w:val="none"/>
        </w:rPr>
        <w:t>。</w:t>
      </w:r>
    </w:p>
    <w:p>
      <w:pPr>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“基础研究”（款）202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34582.21</w:t>
      </w:r>
      <w:r>
        <w:rPr>
          <w:rFonts w:hint="eastAsia" w:ascii="仿宋_GB2312" w:eastAsia="仿宋_GB2312"/>
          <w:sz w:val="28"/>
          <w:szCs w:val="28"/>
          <w:highlight w:val="none"/>
        </w:rPr>
        <w:t>万元，比</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21.43</w:t>
      </w:r>
      <w:r>
        <w:rPr>
          <w:rFonts w:hint="eastAsia" w:ascii="仿宋_GB2312" w:eastAsia="仿宋_GB2312"/>
          <w:sz w:val="28"/>
          <w:szCs w:val="28"/>
        </w:rPr>
        <w:t>万元，下降</w:t>
      </w:r>
      <w:r>
        <w:rPr>
          <w:rFonts w:hint="eastAsia" w:ascii="仿宋_GB2312" w:eastAsia="仿宋_GB2312"/>
          <w:sz w:val="28"/>
          <w:szCs w:val="28"/>
          <w:lang w:val="en-US" w:eastAsia="zh-CN"/>
        </w:rPr>
        <w:t>0.06</w:t>
      </w:r>
      <w:r>
        <w:rPr>
          <w:rFonts w:hint="eastAsia" w:ascii="仿宋_GB2312" w:eastAsia="仿宋_GB2312"/>
          <w:sz w:val="28"/>
          <w:szCs w:val="28"/>
        </w:rPr>
        <w:t>%</w:t>
      </w:r>
      <w:r>
        <w:rPr>
          <w:rFonts w:hint="eastAsia" w:ascii="仿宋_GB2312" w:eastAsia="仿宋_GB2312"/>
          <w:sz w:val="28"/>
          <w:szCs w:val="28"/>
          <w:lang w:eastAsia="zh-Hans"/>
        </w:rPr>
        <w:t>，</w:t>
      </w:r>
      <w:r>
        <w:rPr>
          <w:rFonts w:hint="eastAsia" w:ascii="仿宋_GB2312" w:eastAsia="仿宋_GB2312"/>
          <w:sz w:val="28"/>
          <w:szCs w:val="28"/>
          <w:lang w:val="en-US" w:eastAsia="zh-Hans"/>
        </w:rPr>
        <w:t>与年初预算基本持平。</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w:t>
      </w:r>
      <w:r>
        <w:rPr>
          <w:rFonts w:hint="eastAsia" w:ascii="仿宋_GB2312" w:eastAsia="仿宋_GB2312"/>
          <w:sz w:val="28"/>
          <w:szCs w:val="28"/>
          <w:lang w:eastAsia="zh-CN"/>
        </w:rPr>
        <w:t>（</w:t>
      </w:r>
      <w:r>
        <w:rPr>
          <w:rFonts w:hint="eastAsia" w:ascii="仿宋_GB2312" w:eastAsia="仿宋_GB2312"/>
          <w:sz w:val="28"/>
          <w:szCs w:val="28"/>
        </w:rPr>
        <w:t>类</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年度年初预算减少3.45万元，下降8.33%。其中：</w:t>
      </w:r>
    </w:p>
    <w:p>
      <w:pPr>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年度年初预算减少3.45万元，下降8.33%。主要原因：</w:t>
      </w:r>
      <w:r>
        <w:rPr>
          <w:rFonts w:hint="eastAsia" w:ascii="仿宋_GB2312" w:hAnsi="Times New Roman" w:eastAsia="仿宋_GB2312" w:cs="Times New Roman"/>
          <w:sz w:val="28"/>
          <w:szCs w:val="28"/>
        </w:rPr>
        <w:t>由于人员变动等因素，减少相关经费支出</w:t>
      </w:r>
      <w:r>
        <w:rPr>
          <w:rFonts w:hint="eastAsia" w:ascii="仿宋_GB2312" w:hAnsi="Times New Roman" w:eastAsia="仿宋_GB2312" w:cs="Times New Roman"/>
          <w:sz w:val="28"/>
          <w:szCs w:val="28"/>
          <w:lang w:eastAsia="zh-CN"/>
        </w:rPr>
        <w:t>。</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2023年度国有资本经营预算财政拨款收入总计0万元，国有资本经营预算财政拨款支出总计0万元。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994.87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w:t>
      </w:r>
      <w:bookmarkStart w:id="0" w:name="_GoBack"/>
      <w:bookmarkEnd w:id="0"/>
      <w:r>
        <w:rPr>
          <w:rFonts w:ascii="仿宋_GB2312" w:eastAsia="仿宋_GB2312"/>
          <w:sz w:val="28"/>
          <w:szCs w:val="28"/>
        </w:rPr>
        <w:t>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sz w:val="28"/>
          <w:szCs w:val="28"/>
          <w:lang w:val="en-US" w:eastAsia="zh-CN"/>
        </w:rPr>
        <w:t>本单位1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1.13</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ascii="仿宋_GB2312" w:eastAsia="仿宋_GB2312"/>
          <w:sz w:val="28"/>
          <w:szCs w:val="28"/>
        </w:rPr>
        <w:t>.15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1.13</w:t>
      </w:r>
      <w:r>
        <w:rPr>
          <w:rFonts w:hint="eastAsia" w:ascii="仿宋_GB2312" w:eastAsia="仿宋_GB2312"/>
          <w:sz w:val="28"/>
          <w:szCs w:val="28"/>
        </w:rPr>
        <w:t>万元减少</w:t>
      </w:r>
      <w:r>
        <w:rPr>
          <w:rFonts w:hint="eastAsia" w:ascii="仿宋_GB2312" w:eastAsia="仿宋_GB2312"/>
          <w:sz w:val="28"/>
          <w:szCs w:val="28"/>
          <w:lang w:val="en-US" w:eastAsia="zh-CN"/>
        </w:rPr>
        <w:t>0.15</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val="en-US" w:eastAsia="zh-CN"/>
        </w:rPr>
        <w:t>数</w:t>
      </w:r>
      <w:r>
        <w:rPr>
          <w:rFonts w:hint="eastAsia" w:ascii="仿宋_GB2312" w:eastAsia="仿宋_GB2312"/>
          <w:sz w:val="28"/>
          <w:szCs w:val="28"/>
          <w:lang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1.13</w:t>
      </w:r>
      <w:r>
        <w:rPr>
          <w:rFonts w:hint="eastAsia" w:ascii="仿宋_GB2312" w:eastAsia="仿宋_GB2312"/>
          <w:sz w:val="28"/>
          <w:szCs w:val="28"/>
        </w:rPr>
        <w:t>万元减少</w:t>
      </w:r>
      <w:r>
        <w:rPr>
          <w:rFonts w:hint="eastAsia" w:ascii="仿宋_GB2312" w:eastAsia="仿宋_GB2312"/>
          <w:sz w:val="28"/>
          <w:szCs w:val="28"/>
          <w:lang w:val="en-US" w:eastAsia="zh-CN"/>
        </w:rPr>
        <w:t>0.15</w:t>
      </w:r>
      <w:r>
        <w:rPr>
          <w:rFonts w:hint="eastAsia" w:ascii="仿宋_GB2312" w:eastAsia="仿宋_GB2312"/>
          <w:sz w:val="28"/>
          <w:szCs w:val="28"/>
        </w:rPr>
        <w:t>万元，主要原因：落实政府“过紧日子”要求，进一步压减一般性支出。202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w:t>
      </w:r>
      <w:r>
        <w:rPr>
          <w:rFonts w:hint="eastAsia" w:ascii="仿宋_GB2312" w:eastAsia="仿宋_GB2312"/>
          <w:sz w:val="28"/>
          <w:szCs w:val="28"/>
        </w:rPr>
        <w:t>万元，公务用车维修</w:t>
      </w:r>
      <w:r>
        <w:rPr>
          <w:rFonts w:ascii="仿宋_GB2312" w:eastAsia="仿宋_GB2312"/>
          <w:sz w:val="28"/>
          <w:szCs w:val="28"/>
          <w:highlight w:val="none"/>
        </w:rPr>
        <w:t>0.58</w:t>
      </w:r>
      <w:r>
        <w:rPr>
          <w:rFonts w:hint="eastAsia" w:ascii="仿宋_GB2312" w:eastAsia="仿宋_GB2312"/>
          <w:sz w:val="28"/>
          <w:szCs w:val="28"/>
        </w:rPr>
        <w:t>万元，公务用车保险</w:t>
      </w:r>
      <w:r>
        <w:rPr>
          <w:rFonts w:ascii="仿宋_GB2312" w:eastAsia="仿宋_GB2312"/>
          <w:sz w:val="28"/>
          <w:szCs w:val="28"/>
          <w:highlight w:val="none"/>
        </w:rPr>
        <w:t>0.33</w:t>
      </w:r>
      <w:r>
        <w:rPr>
          <w:rFonts w:hint="eastAsia" w:ascii="仿宋_GB2312" w:eastAsia="仿宋_GB2312"/>
          <w:sz w:val="28"/>
          <w:szCs w:val="28"/>
        </w:rPr>
        <w:t>万元，公务用车其他支出</w:t>
      </w:r>
      <w:r>
        <w:rPr>
          <w:rFonts w:ascii="仿宋_GB2312" w:eastAsia="仿宋_GB2312"/>
          <w:sz w:val="28"/>
          <w:szCs w:val="28"/>
          <w:highlight w:val="none"/>
        </w:rPr>
        <w:t>0.07</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0.98</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99.72</w:t>
      </w:r>
      <w:r>
        <w:rPr>
          <w:rFonts w:hint="eastAsia" w:ascii="仿宋_GB2312" w:eastAsia="仿宋_GB2312"/>
          <w:sz w:val="28"/>
          <w:szCs w:val="28"/>
        </w:rPr>
        <w:t>万元，比上年增加</w:t>
      </w:r>
      <w:r>
        <w:rPr>
          <w:rFonts w:hint="eastAsia" w:ascii="仿宋_GB2312" w:eastAsia="仿宋_GB2312"/>
          <w:sz w:val="28"/>
          <w:szCs w:val="28"/>
          <w:lang w:val="en-US" w:eastAsia="zh-CN"/>
        </w:rPr>
        <w:t>32.37</w:t>
      </w:r>
      <w:r>
        <w:rPr>
          <w:rFonts w:hint="eastAsia" w:ascii="仿宋_GB2312" w:eastAsia="仿宋_GB2312"/>
          <w:sz w:val="28"/>
          <w:szCs w:val="28"/>
        </w:rPr>
        <w:t>万元，增加原因：</w:t>
      </w:r>
      <w:r>
        <w:rPr>
          <w:rFonts w:hint="eastAsia" w:ascii="仿宋_GB2312" w:eastAsia="仿宋_GB2312"/>
          <w:sz w:val="28"/>
          <w:szCs w:val="28"/>
          <w:lang w:eastAsia="zh-CN"/>
        </w:rPr>
        <w:t>各项工作恢复常态，导致日常公用经费支出相应增长</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76.32</w:t>
      </w:r>
      <w:r>
        <w:rPr>
          <w:rFonts w:hint="eastAsia" w:ascii="仿宋_GB2312" w:eastAsia="仿宋_GB2312"/>
          <w:sz w:val="28"/>
          <w:szCs w:val="28"/>
        </w:rPr>
        <w:t>万元，其中：政府采购货物支出</w:t>
      </w:r>
      <w:r>
        <w:rPr>
          <w:rFonts w:ascii="仿宋_GB2312" w:eastAsia="仿宋_GB2312"/>
          <w:sz w:val="28"/>
          <w:szCs w:val="28"/>
        </w:rPr>
        <w:t>28.56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47.7</w:t>
      </w:r>
      <w:r>
        <w:rPr>
          <w:rFonts w:hint="default" w:ascii="仿宋_GB2312" w:eastAsia="仿宋_GB2312"/>
          <w:sz w:val="28"/>
          <w:szCs w:val="28"/>
          <w:lang w:val="en-US"/>
        </w:rPr>
        <w:t>6</w:t>
      </w:r>
      <w:r>
        <w:rPr>
          <w:rFonts w:hint="eastAsia" w:ascii="仿宋_GB2312" w:eastAsia="仿宋_GB2312"/>
          <w:sz w:val="28"/>
          <w:szCs w:val="28"/>
        </w:rPr>
        <w:t>万元。授予中小企业合同金额</w:t>
      </w:r>
      <w:r>
        <w:rPr>
          <w:rFonts w:ascii="仿宋_GB2312" w:eastAsia="仿宋_GB2312"/>
          <w:sz w:val="28"/>
          <w:szCs w:val="28"/>
          <w:highlight w:val="none"/>
        </w:rPr>
        <w:t>76.03</w:t>
      </w:r>
      <w:r>
        <w:rPr>
          <w:rFonts w:hint="eastAsia" w:ascii="仿宋_GB2312" w:eastAsia="仿宋_GB2312"/>
          <w:sz w:val="28"/>
          <w:szCs w:val="28"/>
        </w:rPr>
        <w:t>万元，占政府采购支出总额的</w:t>
      </w:r>
      <w:r>
        <w:rPr>
          <w:rFonts w:ascii="仿宋_GB2312" w:eastAsia="仿宋_GB2312"/>
          <w:sz w:val="28"/>
          <w:szCs w:val="28"/>
          <w:highlight w:val="none"/>
        </w:rPr>
        <w:t>99.62</w:t>
      </w:r>
      <w:r>
        <w:rPr>
          <w:rFonts w:hint="eastAsia" w:ascii="仿宋_GB2312" w:eastAsia="仿宋_GB2312"/>
          <w:sz w:val="28"/>
          <w:szCs w:val="28"/>
        </w:rPr>
        <w:t>%，其中：授予小微企业合同金额</w:t>
      </w:r>
      <w:r>
        <w:rPr>
          <w:rFonts w:ascii="仿宋_GB2312" w:eastAsia="仿宋_GB2312"/>
          <w:sz w:val="28"/>
          <w:szCs w:val="28"/>
          <w:highlight w:val="none"/>
        </w:rPr>
        <w:t>32.29</w:t>
      </w:r>
      <w:r>
        <w:rPr>
          <w:rFonts w:hint="eastAsia" w:ascii="仿宋_GB2312" w:eastAsia="仿宋_GB2312"/>
          <w:sz w:val="28"/>
          <w:szCs w:val="28"/>
        </w:rPr>
        <w:t>万元，占政府采购支出总额的</w:t>
      </w:r>
      <w:r>
        <w:rPr>
          <w:rFonts w:ascii="仿宋_GB2312" w:eastAsia="仿宋_GB2312"/>
          <w:sz w:val="28"/>
          <w:szCs w:val="28"/>
          <w:highlight w:val="none"/>
        </w:rPr>
        <w:t>42.31</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 xml:space="preserve"> 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本单位共有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17.90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rPr>
        <w:t>313</w:t>
      </w:r>
      <w:r>
        <w:rPr>
          <w:rFonts w:hint="eastAsia" w:ascii="仿宋_GB2312" w:eastAsia="仿宋_GB2312"/>
          <w:sz w:val="28"/>
          <w:szCs w:val="28"/>
          <w:lang w:val="en-US" w:eastAsia="zh-CN"/>
        </w:rPr>
        <w:t>.</w:t>
      </w:r>
      <w:r>
        <w:rPr>
          <w:rFonts w:hint="eastAsia" w:ascii="仿宋_GB2312" w:eastAsia="仿宋_GB2312"/>
          <w:sz w:val="28"/>
          <w:szCs w:val="28"/>
        </w:rPr>
        <w:t>51万元。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eastAsia="仿宋_GB2312"/>
          <w:sz w:val="28"/>
          <w:szCs w:val="28"/>
        </w:rPr>
      </w:pPr>
      <w:r>
        <w:rPr>
          <w:rFonts w:hint="eastAsia" w:ascii="仿宋_GB2312" w:eastAsia="仿宋_GB2312"/>
          <w:sz w:val="28"/>
          <w:szCs w:val="28"/>
        </w:rPr>
        <w:t>本单位不属于政府购买服务购买主体。</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Times New Roman" w:eastAsia="仿宋_GB2312" w:cs="Times New Roman"/>
          <w:b w:val="0"/>
          <w:spacing w:val="0"/>
          <w:sz w:val="28"/>
          <w:szCs w:val="28"/>
          <w:lang w:eastAsia="zh-CN"/>
        </w:rPr>
      </w:pPr>
      <w:r>
        <w:rPr>
          <w:rFonts w:hint="eastAsia" w:ascii="仿宋_GB2312" w:eastAsia="仿宋_GB2312"/>
          <w:b w:val="0"/>
          <w:spacing w:val="0"/>
          <w:sz w:val="28"/>
          <w:szCs w:val="28"/>
          <w:lang w:val="en-US" w:eastAsia="zh-CN"/>
        </w:rPr>
        <w:t>7.</w:t>
      </w:r>
      <w:r>
        <w:rPr>
          <w:rFonts w:hint="eastAsia" w:ascii="仿宋_GB2312" w:hAnsi="Times New Roman" w:eastAsia="仿宋_GB2312" w:cs="Times New Roman"/>
          <w:b w:val="0"/>
          <w:spacing w:val="0"/>
          <w:sz w:val="28"/>
          <w:szCs w:val="28"/>
          <w:lang w:eastAsia="zh-CN"/>
        </w:rPr>
        <w:t>支出功能分类项级科目名词解释</w:t>
      </w:r>
    </w:p>
    <w:p>
      <w:pPr>
        <w:ind w:firstLine="560" w:firstLineChars="200"/>
        <w:rPr>
          <w:rFonts w:hint="eastAsia" w:ascii="仿宋_GB2312" w:eastAsia="仿宋_GB2312"/>
          <w:sz w:val="28"/>
          <w:szCs w:val="28"/>
        </w:rPr>
      </w:pPr>
      <w:r>
        <w:rPr>
          <w:rFonts w:hint="eastAsia" w:ascii="仿宋_GB2312" w:eastAsia="仿宋_GB2312"/>
          <w:sz w:val="28"/>
          <w:szCs w:val="28"/>
        </w:rPr>
        <w:t>（1）教育支出（类）进修及培训（款）培训支出（项）（2050803）：反映各部门安排的用于培训的支出。教育部门的师资培训，党校、行政学院等专业干部教育机构的支出，以及退役士兵、转业士官的培训支出，不在本科目反映。</w:t>
      </w:r>
    </w:p>
    <w:p>
      <w:pPr>
        <w:ind w:firstLine="560" w:firstLineChars="200"/>
        <w:rPr>
          <w:rFonts w:hint="eastAsia" w:ascii="仿宋_GB2312" w:eastAsia="仿宋_GB2312"/>
          <w:sz w:val="28"/>
          <w:szCs w:val="28"/>
        </w:rPr>
      </w:pPr>
      <w:r>
        <w:rPr>
          <w:rFonts w:hint="eastAsia" w:ascii="仿宋_GB2312" w:eastAsia="仿宋_GB2312"/>
          <w:sz w:val="28"/>
          <w:szCs w:val="28"/>
        </w:rPr>
        <w:t>（2）科学技术支出（类）科学技术管理事务（款）行政运行（项）（2060101）：反映行政单位（包括参照公务员法管理的事业单位）的基本支出。</w:t>
      </w:r>
    </w:p>
    <w:p>
      <w:pPr>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3</w:t>
      </w:r>
      <w:r>
        <w:rPr>
          <w:rFonts w:hint="eastAsia" w:ascii="仿宋_GB2312" w:eastAsia="仿宋_GB2312"/>
          <w:sz w:val="28"/>
          <w:szCs w:val="28"/>
        </w:rPr>
        <w:t>）科学技术支出（类）基础研究（款）自然科学基金（项）（2060203）：反映各级政府设立的自然科学基金支出。</w:t>
      </w:r>
    </w:p>
    <w:p>
      <w:pPr>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4</w:t>
      </w:r>
      <w:r>
        <w:rPr>
          <w:rFonts w:hint="eastAsia" w:ascii="仿宋_GB2312" w:eastAsia="仿宋_GB2312"/>
          <w:sz w:val="28"/>
          <w:szCs w:val="28"/>
        </w:rPr>
        <w:t>）社会保障和就业支出（类）行政事业单位养老支出（款）行政单位离退休（项）（2080501）：反映行政单位（包括参照公务员法管理的事业单位）开支的离退休经费。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5</w:t>
      </w:r>
      <w:r>
        <w:rPr>
          <w:rFonts w:hint="eastAsia" w:ascii="仿宋_GB2312" w:eastAsia="仿宋_GB2312"/>
          <w:sz w:val="28"/>
          <w:szCs w:val="28"/>
        </w:rPr>
        <w:t>）社会保障和就业支出（类）行政事业单位养老支出（款）机关事业单位职业年金缴费支出（项）（2080506）：反映机关事业单位实施养老保险制度由单位实际缴纳的职业年金支出。</w:t>
      </w:r>
    </w:p>
    <w:p>
      <w:pPr>
        <w:rPr>
          <w:rFonts w:ascii="仿宋_GB2312" w:eastAsia="仿宋_GB2312"/>
          <w:sz w:val="28"/>
          <w:szCs w:val="28"/>
        </w:rPr>
      </w:pPr>
      <w:r>
        <w:rPr>
          <w:rFonts w:ascii="仿宋_GB2312" w:eastAsia="仿宋_GB2312"/>
          <w:sz w:val="28"/>
          <w:szCs w:val="28"/>
        </w:rPr>
        <w:br w:type="page"/>
      </w:r>
    </w:p>
    <w:p>
      <w:pPr>
        <w:pStyle w:val="2"/>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lang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lNDJlNzJlYmE4ODExOTVkYTJkOGVmMzlhOWNhNmU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1E7EAB"/>
    <w:rsid w:val="079004AC"/>
    <w:rsid w:val="0BA148CA"/>
    <w:rsid w:val="0DD136FE"/>
    <w:rsid w:val="0F8E2C57"/>
    <w:rsid w:val="1059665E"/>
    <w:rsid w:val="10AC13BA"/>
    <w:rsid w:val="1A8650CB"/>
    <w:rsid w:val="1AEC0734"/>
    <w:rsid w:val="1B6A2C83"/>
    <w:rsid w:val="1DEF20B0"/>
    <w:rsid w:val="214243FA"/>
    <w:rsid w:val="21AD613C"/>
    <w:rsid w:val="257A14F5"/>
    <w:rsid w:val="27196C26"/>
    <w:rsid w:val="29EF086F"/>
    <w:rsid w:val="2EFFE297"/>
    <w:rsid w:val="301437CA"/>
    <w:rsid w:val="30833B7E"/>
    <w:rsid w:val="349D1F0A"/>
    <w:rsid w:val="34DD0473"/>
    <w:rsid w:val="433E495C"/>
    <w:rsid w:val="4AC27CB3"/>
    <w:rsid w:val="4BF72BEF"/>
    <w:rsid w:val="51DB3C59"/>
    <w:rsid w:val="550C0952"/>
    <w:rsid w:val="55762E42"/>
    <w:rsid w:val="57A7B272"/>
    <w:rsid w:val="58470068"/>
    <w:rsid w:val="5A1720F9"/>
    <w:rsid w:val="5B9C37C2"/>
    <w:rsid w:val="5BA7C654"/>
    <w:rsid w:val="64C0607C"/>
    <w:rsid w:val="676F09E1"/>
    <w:rsid w:val="735232EE"/>
    <w:rsid w:val="75971316"/>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35984.32</c:v>
                </c:pt>
                <c:pt idx="1">
                  <c:v>10600</c:v>
                </c:pt>
                <c:pt idx="2">
                  <c:v>5000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994.87</c:v>
                </c:pt>
                <c:pt idx="1">
                  <c:v>50937.4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3746</Words>
  <Characters>4282</Characters>
  <Lines>44</Lines>
  <Paragraphs>12</Paragraphs>
  <TotalTime>1</TotalTime>
  <ScaleCrop>false</ScaleCrop>
  <LinksUpToDate>false</LinksUpToDate>
  <CharactersWithSpaces>4301</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zhangbihan</cp:lastModifiedBy>
  <cp:lastPrinted>2020-08-07T11:39:00Z</cp:lastPrinted>
  <dcterms:modified xsi:type="dcterms:W3CDTF">2024-09-05T01:43:22Z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435078ACFECC4A5A8A519EF4C3681114_13</vt:lpwstr>
  </property>
</Properties>
</file>